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6D" w:rsidRDefault="00E3726D">
      <w:pPr>
        <w:pStyle w:val="Standard"/>
        <w:tabs>
          <w:tab w:val="left" w:pos="2269"/>
          <w:tab w:val="left" w:pos="5103"/>
        </w:tabs>
        <w:spacing w:line="240" w:lineRule="atLeast"/>
        <w:rPr>
          <w:rFonts w:asciiTheme="minorHAnsi" w:hAnsiTheme="minorHAnsi"/>
        </w:rPr>
      </w:pPr>
      <w:bookmarkStart w:id="0" w:name="_GoBack"/>
      <w:bookmarkEnd w:id="0"/>
    </w:p>
    <w:p w:rsidR="00554EBD" w:rsidRPr="00554EBD" w:rsidRDefault="00554EBD" w:rsidP="00554EBD">
      <w:pPr>
        <w:jc w:val="center"/>
        <w:rPr>
          <w:rFonts w:cs="Times New Roman"/>
          <w:b/>
        </w:rPr>
      </w:pPr>
      <w:r w:rsidRPr="00554EBD">
        <w:rPr>
          <w:rFonts w:cs="Times New Roman"/>
          <w:b/>
        </w:rPr>
        <w:t xml:space="preserve">Avviso Pubblico Manifestazione d’Interesse </w:t>
      </w:r>
    </w:p>
    <w:p w:rsidR="00554EBD" w:rsidRPr="00554EBD" w:rsidRDefault="00554EBD" w:rsidP="00554EBD">
      <w:pPr>
        <w:jc w:val="center"/>
        <w:rPr>
          <w:rFonts w:cs="Times New Roman"/>
          <w:b/>
        </w:rPr>
      </w:pPr>
      <w:r w:rsidRPr="00554EBD">
        <w:rPr>
          <w:rFonts w:cs="Times New Roman"/>
          <w:b/>
        </w:rPr>
        <w:t>finalizzato alla realizzazione di progetti culturali per la valorizzazione della Sala Cinematografica Vittorio De Seta all’interno dei Cantieri Culturali alla Zisa</w:t>
      </w:r>
    </w:p>
    <w:p w:rsidR="00554EBD" w:rsidRDefault="00554EBD" w:rsidP="00554EBD">
      <w:pPr>
        <w:jc w:val="center"/>
        <w:rPr>
          <w:rFonts w:cs="Times New Roman"/>
        </w:rPr>
      </w:pPr>
    </w:p>
    <w:p w:rsidR="00554EBD" w:rsidRDefault="00824A80" w:rsidP="00554EBD">
      <w:pPr>
        <w:ind w:left="35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54EBD" w:rsidRDefault="00554EBD" w:rsidP="00554EBD">
      <w:pPr>
        <w:ind w:left="3540"/>
        <w:rPr>
          <w:rFonts w:cs="Times New Roman"/>
        </w:rPr>
      </w:pPr>
    </w:p>
    <w:p w:rsidR="00340FAA" w:rsidRDefault="00554EBD" w:rsidP="00DE5CD4">
      <w:pPr>
        <w:jc w:val="both"/>
        <w:rPr>
          <w:rFonts w:cs="Times New Roman"/>
        </w:rPr>
      </w:pPr>
      <w:r>
        <w:rPr>
          <w:rFonts w:cs="Times New Roman"/>
        </w:rPr>
        <w:t>Si rende noto che il Comune di Palermo inten</w:t>
      </w:r>
      <w:r w:rsidR="0000040A">
        <w:rPr>
          <w:rFonts w:cs="Times New Roman"/>
        </w:rPr>
        <w:t>de valorizzare la Sala Cinemato</w:t>
      </w:r>
      <w:r>
        <w:rPr>
          <w:rFonts w:cs="Times New Roman"/>
        </w:rPr>
        <w:t>grafica Vittorio De Seta di proprietà comunale all’interno dei Cantieri Culturali alla Zisa, in quanto c</w:t>
      </w:r>
      <w:r w:rsidR="0000040A">
        <w:rPr>
          <w:rFonts w:cs="Times New Roman"/>
        </w:rPr>
        <w:t>onsiderato patrimonio strategi</w:t>
      </w:r>
      <w:r>
        <w:rPr>
          <w:rFonts w:cs="Times New Roman"/>
        </w:rPr>
        <w:t>che può svolgere un ruolo significativo nei proc</w:t>
      </w:r>
      <w:r w:rsidR="0000040A">
        <w:rPr>
          <w:rFonts w:cs="Times New Roman"/>
        </w:rPr>
        <w:t>essi di promozione, va</w:t>
      </w:r>
      <w:r>
        <w:rPr>
          <w:rFonts w:cs="Times New Roman"/>
        </w:rPr>
        <w:t>lorizzazione e diffusione</w:t>
      </w:r>
      <w:r w:rsidR="0000040A">
        <w:rPr>
          <w:rFonts w:cs="Times New Roman"/>
        </w:rPr>
        <w:t xml:space="preserve"> della cultura nelle diverse e svariate</w:t>
      </w:r>
      <w:r>
        <w:rPr>
          <w:rFonts w:cs="Times New Roman"/>
        </w:rPr>
        <w:t xml:space="preserve"> for</w:t>
      </w:r>
      <w:r w:rsidR="0000040A">
        <w:rPr>
          <w:rFonts w:cs="Times New Roman"/>
        </w:rPr>
        <w:t>me secondo un programma di atti</w:t>
      </w:r>
      <w:r>
        <w:rPr>
          <w:rFonts w:cs="Times New Roman"/>
        </w:rPr>
        <w:t>vità</w:t>
      </w:r>
      <w:r w:rsidR="0000040A">
        <w:rPr>
          <w:rFonts w:cs="Times New Roman"/>
        </w:rPr>
        <w:t xml:space="preserve"> </w:t>
      </w:r>
      <w:r>
        <w:rPr>
          <w:rFonts w:cs="Times New Roman"/>
        </w:rPr>
        <w:t>fino al 30/06/</w:t>
      </w:r>
      <w:r w:rsidR="0000040A">
        <w:rPr>
          <w:rFonts w:cs="Times New Roman"/>
        </w:rPr>
        <w:t>2022 quali Festival, rassegne, p</w:t>
      </w:r>
      <w:r>
        <w:rPr>
          <w:rFonts w:cs="Times New Roman"/>
        </w:rPr>
        <w:t>remi tutte finalizzate alla valorizza</w:t>
      </w:r>
      <w:r w:rsidR="0000040A">
        <w:rPr>
          <w:rFonts w:cs="Times New Roman"/>
        </w:rPr>
        <w:t>z</w:t>
      </w:r>
      <w:r>
        <w:rPr>
          <w:rFonts w:cs="Times New Roman"/>
        </w:rPr>
        <w:t>ione dell’arte cinem</w:t>
      </w:r>
      <w:r w:rsidR="0000040A">
        <w:rPr>
          <w:rFonts w:cs="Times New Roman"/>
        </w:rPr>
        <w:t>atografica e dell’au</w:t>
      </w:r>
      <w:r>
        <w:rPr>
          <w:rFonts w:cs="Times New Roman"/>
        </w:rPr>
        <w:t>diovisivo</w:t>
      </w:r>
      <w:r w:rsidR="0000040A">
        <w:rPr>
          <w:rFonts w:cs="Times New Roman"/>
        </w:rPr>
        <w:t xml:space="preserve"> </w:t>
      </w:r>
      <w:r w:rsidR="00340FAA">
        <w:rPr>
          <w:rFonts w:cs="Times New Roman"/>
        </w:rPr>
        <w:t>ma anche alla valorizzazione d</w:t>
      </w:r>
      <w:r w:rsidR="0000040A">
        <w:rPr>
          <w:rFonts w:cs="Times New Roman"/>
        </w:rPr>
        <w:t>el sito per le attività cultura</w:t>
      </w:r>
      <w:r w:rsidR="00340FAA">
        <w:rPr>
          <w:rFonts w:cs="Times New Roman"/>
        </w:rPr>
        <w:t>li inserite rispondenti alle esigenze pubbliche e del territorio.</w:t>
      </w:r>
    </w:p>
    <w:p w:rsidR="00340FAA" w:rsidRDefault="00340FAA" w:rsidP="00DE5CD4">
      <w:pPr>
        <w:jc w:val="both"/>
        <w:rPr>
          <w:rFonts w:cs="Times New Roman"/>
        </w:rPr>
      </w:pPr>
    </w:p>
    <w:p w:rsidR="0098498A" w:rsidRDefault="00340FAA" w:rsidP="00DE5CD4">
      <w:pPr>
        <w:jc w:val="both"/>
        <w:rPr>
          <w:rFonts w:cs="Times New Roman"/>
        </w:rPr>
      </w:pPr>
      <w:r>
        <w:rPr>
          <w:rFonts w:cs="Times New Roman"/>
        </w:rPr>
        <w:t>Visto il protocollo d’inte</w:t>
      </w:r>
      <w:r w:rsidR="0000040A">
        <w:rPr>
          <w:rFonts w:cs="Times New Roman"/>
        </w:rPr>
        <w:t>sa tra il Comune di Palermo e l</w:t>
      </w:r>
      <w:r>
        <w:rPr>
          <w:rFonts w:cs="Times New Roman"/>
        </w:rPr>
        <w:t>a Filmoteca Regionale Siciliana, l’</w:t>
      </w:r>
      <w:proofErr w:type="spellStart"/>
      <w:r>
        <w:rPr>
          <w:rFonts w:cs="Times New Roman"/>
        </w:rPr>
        <w:t>Ins</w:t>
      </w:r>
      <w:r w:rsidR="0000040A">
        <w:rPr>
          <w:rFonts w:cs="Times New Roman"/>
        </w:rPr>
        <w:t>titut</w:t>
      </w:r>
      <w:proofErr w:type="spellEnd"/>
      <w:r w:rsidR="0000040A">
        <w:rPr>
          <w:rFonts w:cs="Times New Roman"/>
        </w:rPr>
        <w:t xml:space="preserve"> </w:t>
      </w:r>
      <w:proofErr w:type="spellStart"/>
      <w:r w:rsidR="0000040A">
        <w:rPr>
          <w:rFonts w:cs="Times New Roman"/>
        </w:rPr>
        <w:t>Francais</w:t>
      </w:r>
      <w:proofErr w:type="spellEnd"/>
      <w:r w:rsidR="0000040A">
        <w:rPr>
          <w:rFonts w:cs="Times New Roman"/>
        </w:rPr>
        <w:t xml:space="preserve"> Palermo, il Goet</w:t>
      </w:r>
      <w:r>
        <w:rPr>
          <w:rFonts w:cs="Times New Roman"/>
        </w:rPr>
        <w:t xml:space="preserve">he – </w:t>
      </w:r>
      <w:proofErr w:type="spellStart"/>
      <w:r>
        <w:rPr>
          <w:rFonts w:cs="Times New Roman"/>
        </w:rPr>
        <w:t>Institut</w:t>
      </w:r>
      <w:proofErr w:type="spellEnd"/>
      <w:r>
        <w:rPr>
          <w:rFonts w:cs="Times New Roman"/>
        </w:rPr>
        <w:t xml:space="preserve"> Palermo, approvato con deliberazione di Giunta Comunale n. 88 del 05/05/2016 e la costituzione di un Comitato formato dai medesimi Soggetti, le cui modalità operative sono state approvate con atto di Giunta comunale n. 188 del 29/09/2016</w:t>
      </w:r>
    </w:p>
    <w:p w:rsidR="0098498A" w:rsidRDefault="0098498A" w:rsidP="00DE5CD4">
      <w:pPr>
        <w:jc w:val="both"/>
        <w:rPr>
          <w:rFonts w:cs="Times New Roman"/>
        </w:rPr>
      </w:pPr>
    </w:p>
    <w:p w:rsidR="00C46922" w:rsidRDefault="0000040A" w:rsidP="00DE5CD4">
      <w:pPr>
        <w:jc w:val="both"/>
        <w:rPr>
          <w:rFonts w:cs="Times New Roman"/>
        </w:rPr>
      </w:pPr>
      <w:r>
        <w:rPr>
          <w:rFonts w:cs="Times New Roman"/>
        </w:rPr>
        <w:t>Al fine di realizzare il pred</w:t>
      </w:r>
      <w:r w:rsidR="0098498A">
        <w:rPr>
          <w:rFonts w:cs="Times New Roman"/>
        </w:rPr>
        <w:t>etto programma si invitano Soggetti Giuridici, Enti Pubblici, Associazioni con o senza finalità di lucro operanti nei setto</w:t>
      </w:r>
      <w:r>
        <w:rPr>
          <w:rFonts w:cs="Times New Roman"/>
        </w:rPr>
        <w:t>ri della valorizzazione della cu</w:t>
      </w:r>
      <w:r w:rsidR="0098498A">
        <w:rPr>
          <w:rFonts w:cs="Times New Roman"/>
        </w:rPr>
        <w:t>l</w:t>
      </w:r>
      <w:r>
        <w:rPr>
          <w:rFonts w:cs="Times New Roman"/>
        </w:rPr>
        <w:t>tura cinematografica e dell’audiovisivo</w:t>
      </w:r>
      <w:r w:rsidR="0098498A">
        <w:rPr>
          <w:rFonts w:cs="Times New Roman"/>
        </w:rPr>
        <w:t xml:space="preserve"> a presentare una proposta progettuale di alto profilo culturale per la crescita socio-culturale della</w:t>
      </w:r>
      <w:r>
        <w:rPr>
          <w:rFonts w:cs="Times New Roman"/>
        </w:rPr>
        <w:t xml:space="preserve"> Città di P</w:t>
      </w:r>
      <w:r w:rsidR="0098498A">
        <w:rPr>
          <w:rFonts w:cs="Times New Roman"/>
        </w:rPr>
        <w:t>alermo, finalizzate alla valorizzazione dell’arte cin</w:t>
      </w:r>
      <w:r>
        <w:rPr>
          <w:rFonts w:cs="Times New Roman"/>
        </w:rPr>
        <w:t>e</w:t>
      </w:r>
      <w:r w:rsidR="0098498A">
        <w:rPr>
          <w:rFonts w:cs="Times New Roman"/>
        </w:rPr>
        <w:t>m</w:t>
      </w:r>
      <w:r>
        <w:rPr>
          <w:rFonts w:cs="Times New Roman"/>
        </w:rPr>
        <w:t>a</w:t>
      </w:r>
      <w:r w:rsidR="0098498A">
        <w:rPr>
          <w:rFonts w:cs="Times New Roman"/>
        </w:rPr>
        <w:t>tografica e dell’audiovisivo in complemen</w:t>
      </w:r>
      <w:r w:rsidR="00C46922">
        <w:rPr>
          <w:rFonts w:cs="Times New Roman"/>
        </w:rPr>
        <w:t>tarietà con le attività poste in essere dall’amministrazione.</w:t>
      </w:r>
    </w:p>
    <w:p w:rsidR="00C46922" w:rsidRDefault="00C46922" w:rsidP="00DE5CD4">
      <w:pPr>
        <w:jc w:val="both"/>
        <w:rPr>
          <w:rFonts w:cs="Times New Roman"/>
        </w:rPr>
      </w:pPr>
    </w:p>
    <w:p w:rsidR="00C46922" w:rsidRDefault="00C46922" w:rsidP="00DE5CD4">
      <w:pPr>
        <w:jc w:val="both"/>
        <w:rPr>
          <w:rFonts w:cs="Times New Roman"/>
        </w:rPr>
      </w:pPr>
      <w:r>
        <w:rPr>
          <w:rFonts w:cs="Times New Roman"/>
        </w:rPr>
        <w:t>Il suddetto prog</w:t>
      </w:r>
      <w:r w:rsidR="0000040A">
        <w:rPr>
          <w:rFonts w:cs="Times New Roman"/>
        </w:rPr>
        <w:t>ramma dovrà realizzarsi compatib</w:t>
      </w:r>
      <w:r>
        <w:rPr>
          <w:rFonts w:cs="Times New Roman"/>
        </w:rPr>
        <w:t>ilme</w:t>
      </w:r>
      <w:r w:rsidR="0000040A">
        <w:rPr>
          <w:rFonts w:cs="Times New Roman"/>
        </w:rPr>
        <w:t>n</w:t>
      </w:r>
      <w:r>
        <w:rPr>
          <w:rFonts w:cs="Times New Roman"/>
        </w:rPr>
        <w:t>te con il calendario delle attività e manifestazioni istituzionali già organiz</w:t>
      </w:r>
      <w:r w:rsidR="0000040A">
        <w:rPr>
          <w:rFonts w:cs="Times New Roman"/>
        </w:rPr>
        <w:t>zate dal</w:t>
      </w:r>
      <w:r>
        <w:rPr>
          <w:rFonts w:cs="Times New Roman"/>
        </w:rPr>
        <w:t>l’Amministrazione comunale (allegato al presente avviso).</w:t>
      </w:r>
    </w:p>
    <w:p w:rsidR="00C46922" w:rsidRDefault="00C46922" w:rsidP="00DE5CD4">
      <w:pPr>
        <w:jc w:val="both"/>
        <w:rPr>
          <w:rFonts w:cs="Times New Roman"/>
        </w:rPr>
      </w:pPr>
    </w:p>
    <w:p w:rsidR="00C46922" w:rsidRDefault="00C46922" w:rsidP="00DE5CD4">
      <w:pPr>
        <w:jc w:val="both"/>
        <w:rPr>
          <w:rFonts w:cs="Times New Roman"/>
        </w:rPr>
      </w:pPr>
      <w:r>
        <w:rPr>
          <w:rFonts w:cs="Times New Roman"/>
        </w:rPr>
        <w:t>I progetti risultati validi e approvati verranno inseriti nella programmazione delle Attività della sala d</w:t>
      </w:r>
      <w:r w:rsidR="0000040A">
        <w:rPr>
          <w:rFonts w:cs="Times New Roman"/>
        </w:rPr>
        <w:t>e Seta la cui effettiva realizz</w:t>
      </w:r>
      <w:r>
        <w:rPr>
          <w:rFonts w:cs="Times New Roman"/>
        </w:rPr>
        <w:t>azione avverrà nel rispetto delle norme in materia di contenimento e gestione dell’emergenza epidemiologica da COVID-19.</w:t>
      </w:r>
    </w:p>
    <w:p w:rsidR="00C46922" w:rsidRDefault="00C46922" w:rsidP="00DE5CD4">
      <w:pPr>
        <w:jc w:val="both"/>
        <w:rPr>
          <w:rFonts w:cs="Times New Roman"/>
        </w:rPr>
      </w:pPr>
      <w:r>
        <w:rPr>
          <w:rFonts w:cs="Times New Roman"/>
        </w:rPr>
        <w:t>Secondo l’evoluzione dello stato di emer</w:t>
      </w:r>
      <w:r w:rsidR="0000040A">
        <w:rPr>
          <w:rFonts w:cs="Times New Roman"/>
        </w:rPr>
        <w:t>genza epidemiologica l’amminist</w:t>
      </w:r>
      <w:r>
        <w:rPr>
          <w:rFonts w:cs="Times New Roman"/>
        </w:rPr>
        <w:t>r</w:t>
      </w:r>
      <w:r w:rsidR="0000040A">
        <w:rPr>
          <w:rFonts w:cs="Times New Roman"/>
        </w:rPr>
        <w:t>a</w:t>
      </w:r>
      <w:r>
        <w:rPr>
          <w:rFonts w:cs="Times New Roman"/>
        </w:rPr>
        <w:t xml:space="preserve">zione potrebbe annullare o modificare </w:t>
      </w:r>
      <w:r w:rsidR="0000040A">
        <w:rPr>
          <w:rFonts w:cs="Times New Roman"/>
        </w:rPr>
        <w:t>l’evento, senza che nessuna pre</w:t>
      </w:r>
      <w:r>
        <w:rPr>
          <w:rFonts w:cs="Times New Roman"/>
        </w:rPr>
        <w:t>tesa potrà essere avanzata.</w:t>
      </w:r>
    </w:p>
    <w:p w:rsidR="00C46922" w:rsidRDefault="00C46922" w:rsidP="00DE5CD4">
      <w:pPr>
        <w:jc w:val="both"/>
        <w:rPr>
          <w:rFonts w:cs="Times New Roman"/>
        </w:rPr>
      </w:pPr>
    </w:p>
    <w:p w:rsidR="00C46922" w:rsidRPr="00B83536" w:rsidRDefault="00C46922" w:rsidP="00DE5CD4">
      <w:pPr>
        <w:jc w:val="both"/>
        <w:rPr>
          <w:rFonts w:cs="Times New Roman"/>
          <w:b/>
        </w:rPr>
      </w:pPr>
      <w:r w:rsidRPr="00B83536">
        <w:rPr>
          <w:rFonts w:cs="Times New Roman"/>
          <w:b/>
        </w:rPr>
        <w:t>SOGGETTI AMMESSI ALLA VALUTAZIONE</w:t>
      </w:r>
    </w:p>
    <w:p w:rsidR="002405F3" w:rsidRDefault="00C46922" w:rsidP="00DE5CD4">
      <w:pPr>
        <w:jc w:val="both"/>
        <w:rPr>
          <w:rFonts w:cs="Times New Roman"/>
        </w:rPr>
      </w:pPr>
      <w:r>
        <w:rPr>
          <w:rFonts w:cs="Times New Roman"/>
        </w:rPr>
        <w:t>I soggetti interessati non devono trovarsi in nessuna delle condizioni ostati</w:t>
      </w:r>
      <w:r w:rsidR="0000040A">
        <w:rPr>
          <w:rFonts w:cs="Times New Roman"/>
        </w:rPr>
        <w:t>ve alla contrattaz</w:t>
      </w:r>
      <w:r w:rsidR="002405F3">
        <w:rPr>
          <w:rFonts w:cs="Times New Roman"/>
        </w:rPr>
        <w:t>ione con le P</w:t>
      </w:r>
      <w:r>
        <w:rPr>
          <w:rFonts w:cs="Times New Roman"/>
        </w:rPr>
        <w:t>ubbliche</w:t>
      </w:r>
      <w:r w:rsidR="002405F3">
        <w:rPr>
          <w:rFonts w:cs="Times New Roman"/>
        </w:rPr>
        <w:t xml:space="preserve"> Amministrazioni di cui all’art. 80 del </w:t>
      </w:r>
      <w:proofErr w:type="spellStart"/>
      <w:r w:rsidR="002405F3">
        <w:rPr>
          <w:rFonts w:cs="Times New Roman"/>
        </w:rPr>
        <w:t>D.Lgs</w:t>
      </w:r>
      <w:proofErr w:type="spellEnd"/>
      <w:r w:rsidR="002405F3">
        <w:rPr>
          <w:rFonts w:cs="Times New Roman"/>
        </w:rPr>
        <w:t xml:space="preserve"> 50/2016 e devono operare nel settore competente</w:t>
      </w:r>
    </w:p>
    <w:p w:rsidR="002405F3" w:rsidRDefault="002405F3" w:rsidP="00DE5CD4">
      <w:pPr>
        <w:jc w:val="both"/>
        <w:rPr>
          <w:rFonts w:cs="Times New Roman"/>
        </w:rPr>
      </w:pPr>
    </w:p>
    <w:p w:rsidR="002405F3" w:rsidRPr="00B83536" w:rsidRDefault="002405F3" w:rsidP="00DE5CD4">
      <w:pPr>
        <w:jc w:val="both"/>
        <w:rPr>
          <w:rFonts w:cs="Times New Roman"/>
          <w:b/>
        </w:rPr>
      </w:pPr>
      <w:r w:rsidRPr="00B83536">
        <w:rPr>
          <w:rFonts w:cs="Times New Roman"/>
          <w:b/>
        </w:rPr>
        <w:t>OBIETTIVI E FINALITA’</w:t>
      </w:r>
    </w:p>
    <w:p w:rsidR="002405F3" w:rsidRDefault="002405F3" w:rsidP="00DE5CD4">
      <w:pPr>
        <w:jc w:val="both"/>
        <w:rPr>
          <w:rFonts w:cs="Times New Roman"/>
        </w:rPr>
      </w:pPr>
      <w:r>
        <w:rPr>
          <w:rFonts w:cs="Times New Roman"/>
        </w:rPr>
        <w:t>Valorizzazione de</w:t>
      </w:r>
      <w:r w:rsidR="00212DEB">
        <w:rPr>
          <w:rFonts w:cs="Times New Roman"/>
        </w:rPr>
        <w:t>l patrimonio cultu</w:t>
      </w:r>
      <w:r>
        <w:rPr>
          <w:rFonts w:cs="Times New Roman"/>
        </w:rPr>
        <w:t xml:space="preserve">rale dei Cantieri </w:t>
      </w:r>
      <w:r w:rsidR="00212DEB">
        <w:rPr>
          <w:rFonts w:cs="Times New Roman"/>
        </w:rPr>
        <w:t>C</w:t>
      </w:r>
      <w:r>
        <w:rPr>
          <w:rFonts w:cs="Times New Roman"/>
        </w:rPr>
        <w:t>ultura</w:t>
      </w:r>
      <w:r w:rsidR="00212DEB">
        <w:rPr>
          <w:rFonts w:cs="Times New Roman"/>
        </w:rPr>
        <w:t>li alla Z</w:t>
      </w:r>
      <w:r>
        <w:rPr>
          <w:rFonts w:cs="Times New Roman"/>
        </w:rPr>
        <w:t>isa, sito culturale oggetto di numero</w:t>
      </w:r>
      <w:r w:rsidR="00212DEB">
        <w:rPr>
          <w:rFonts w:cs="Times New Roman"/>
        </w:rPr>
        <w:t>si di progetti</w:t>
      </w:r>
      <w:r>
        <w:rPr>
          <w:rFonts w:cs="Times New Roman"/>
        </w:rPr>
        <w:t xml:space="preserve"> strategici di sviluppo della cultura, con particolare riferime</w:t>
      </w:r>
      <w:r w:rsidR="00212DEB">
        <w:rPr>
          <w:rFonts w:cs="Times New Roman"/>
        </w:rPr>
        <w:t>n</w:t>
      </w:r>
      <w:r>
        <w:rPr>
          <w:rFonts w:cs="Times New Roman"/>
        </w:rPr>
        <w:t>to alla sala Cinematografica Vi</w:t>
      </w:r>
      <w:r w:rsidR="00212DEB">
        <w:rPr>
          <w:rFonts w:cs="Times New Roman"/>
        </w:rPr>
        <w:t>t</w:t>
      </w:r>
      <w:r>
        <w:rPr>
          <w:rFonts w:cs="Times New Roman"/>
        </w:rPr>
        <w:t>torio De Seta.</w:t>
      </w:r>
    </w:p>
    <w:p w:rsidR="002405F3" w:rsidRDefault="002405F3" w:rsidP="00554EBD">
      <w:pPr>
        <w:rPr>
          <w:rFonts w:cs="Times New Roman"/>
        </w:rPr>
      </w:pPr>
    </w:p>
    <w:p w:rsidR="002405F3" w:rsidRPr="00B83536" w:rsidRDefault="002405F3" w:rsidP="00554EBD">
      <w:pPr>
        <w:rPr>
          <w:rFonts w:cs="Times New Roman"/>
          <w:b/>
        </w:rPr>
      </w:pPr>
      <w:r w:rsidRPr="00B83536">
        <w:rPr>
          <w:rFonts w:cs="Times New Roman"/>
          <w:b/>
        </w:rPr>
        <w:lastRenderedPageBreak/>
        <w:t>DESCRIZIONE DEWI PROGETTI</w:t>
      </w:r>
    </w:p>
    <w:p w:rsidR="008035E0" w:rsidRDefault="002405F3" w:rsidP="0000040A">
      <w:pPr>
        <w:jc w:val="both"/>
        <w:rPr>
          <w:rFonts w:cs="Times New Roman"/>
        </w:rPr>
      </w:pPr>
      <w:r>
        <w:rPr>
          <w:rFonts w:cs="Times New Roman"/>
        </w:rPr>
        <w:t xml:space="preserve">I </w:t>
      </w:r>
      <w:r w:rsidR="00212DEB">
        <w:rPr>
          <w:rFonts w:cs="Times New Roman"/>
        </w:rPr>
        <w:t>progetti</w:t>
      </w:r>
      <w:r>
        <w:rPr>
          <w:rFonts w:cs="Times New Roman"/>
        </w:rPr>
        <w:t xml:space="preserve"> ammissibili dovranno prev</w:t>
      </w:r>
      <w:r w:rsidR="00212DEB">
        <w:rPr>
          <w:rFonts w:cs="Times New Roman"/>
        </w:rPr>
        <w:t>edere la diffusione e la promozione della cultu</w:t>
      </w:r>
      <w:r>
        <w:rPr>
          <w:rFonts w:cs="Times New Roman"/>
        </w:rPr>
        <w:t>ra cinematografica e dell’audiovisivo, attraverso la creazione e organizzazione di e</w:t>
      </w:r>
      <w:r w:rsidR="00212DEB">
        <w:rPr>
          <w:rFonts w:cs="Times New Roman"/>
        </w:rPr>
        <w:t>venti, rassegne, festival e ini</w:t>
      </w:r>
      <w:r>
        <w:rPr>
          <w:rFonts w:cs="Times New Roman"/>
        </w:rPr>
        <w:t>ziative culturali nel settore cinematografico escludendo le produzioni</w:t>
      </w:r>
      <w:r w:rsidR="00212DEB">
        <w:rPr>
          <w:rFonts w:cs="Times New Roman"/>
        </w:rPr>
        <w:t xml:space="preserve"> di natura prevalentement</w:t>
      </w:r>
      <w:r>
        <w:rPr>
          <w:rFonts w:cs="Times New Roman"/>
        </w:rPr>
        <w:t>e commerciali e favorendo progetti in grado di promuovere la ricerca in ambito della creazione cinematografica (filmica), attività cinematografica d’essai e distribuzione</w:t>
      </w:r>
      <w:r w:rsidR="00212DEB">
        <w:rPr>
          <w:rFonts w:cs="Times New Roman"/>
        </w:rPr>
        <w:t xml:space="preserve"> indipendente, attività cinemat</w:t>
      </w:r>
      <w:r>
        <w:rPr>
          <w:rFonts w:cs="Times New Roman"/>
        </w:rPr>
        <w:t>ografiche che non hanno avu</w:t>
      </w:r>
      <w:r w:rsidR="00212DEB">
        <w:rPr>
          <w:rFonts w:cs="Times New Roman"/>
        </w:rPr>
        <w:t>to distribuzione in</w:t>
      </w:r>
      <w:r w:rsidR="008035E0">
        <w:rPr>
          <w:rFonts w:cs="Times New Roman"/>
        </w:rPr>
        <w:t xml:space="preserve"> Italia o</w:t>
      </w:r>
      <w:r>
        <w:rPr>
          <w:rFonts w:cs="Times New Roman"/>
        </w:rPr>
        <w:t xml:space="preserve"> </w:t>
      </w:r>
      <w:r w:rsidR="008035E0">
        <w:rPr>
          <w:rFonts w:cs="Times New Roman"/>
        </w:rPr>
        <w:t>a Palermo, proge</w:t>
      </w:r>
      <w:r w:rsidR="00212DEB">
        <w:rPr>
          <w:rFonts w:cs="Times New Roman"/>
        </w:rPr>
        <w:t>tti di attività che mostrano in</w:t>
      </w:r>
      <w:r w:rsidR="008035E0">
        <w:rPr>
          <w:rFonts w:cs="Times New Roman"/>
        </w:rPr>
        <w:t>teresse artistico o storico e opere cine</w:t>
      </w:r>
      <w:r w:rsidR="00212DEB">
        <w:rPr>
          <w:rFonts w:cs="Times New Roman"/>
        </w:rPr>
        <w:t>matografi</w:t>
      </w:r>
      <w:r w:rsidR="008035E0">
        <w:rPr>
          <w:rFonts w:cs="Times New Roman"/>
        </w:rPr>
        <w:t>che considerate come “classici dello schermo”, cortometraggi, progetti di attività che riflettono la vita della società siciliana e della Nazione la cui distribuzione è poco diffusa in Italia.</w:t>
      </w:r>
    </w:p>
    <w:p w:rsidR="008035E0" w:rsidRDefault="008035E0" w:rsidP="0000040A">
      <w:pPr>
        <w:jc w:val="both"/>
        <w:rPr>
          <w:rFonts w:cs="Times New Roman"/>
        </w:rPr>
      </w:pPr>
    </w:p>
    <w:p w:rsidR="008035E0" w:rsidRPr="00B83536" w:rsidRDefault="008035E0" w:rsidP="0000040A">
      <w:pPr>
        <w:jc w:val="both"/>
        <w:rPr>
          <w:rFonts w:cs="Times New Roman"/>
          <w:b/>
        </w:rPr>
      </w:pPr>
      <w:r w:rsidRPr="00B83536">
        <w:rPr>
          <w:rFonts w:cs="Times New Roman"/>
          <w:b/>
        </w:rPr>
        <w:t>REQUISTI DI PARTECIPAZIONE</w:t>
      </w:r>
    </w:p>
    <w:p w:rsidR="005D6229" w:rsidRDefault="005D6229" w:rsidP="0000040A">
      <w:pPr>
        <w:jc w:val="both"/>
        <w:rPr>
          <w:rFonts w:eastAsia="Times New Roman" w:cs="Times New Roman"/>
          <w:kern w:val="0"/>
        </w:rPr>
      </w:pPr>
    </w:p>
    <w:p w:rsidR="008035E0" w:rsidRDefault="008035E0" w:rsidP="0000040A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Istanza con descrizione sintetica dell’evento;</w:t>
      </w:r>
    </w:p>
    <w:p w:rsidR="008035E0" w:rsidRDefault="008035E0" w:rsidP="0000040A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Relazione illustrativa del progetto;</w:t>
      </w:r>
    </w:p>
    <w:p w:rsidR="008035E0" w:rsidRDefault="008035E0" w:rsidP="0000040A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Atto costitutivo del soggetto partecipante, con allegato Statuto, n</w:t>
      </w:r>
      <w:r w:rsidR="00212DEB">
        <w:rPr>
          <w:rFonts w:eastAsia="Times New Roman" w:cs="Times New Roman"/>
          <w:kern w:val="0"/>
        </w:rPr>
        <w:t>el caso di Enti ed Associazioni</w:t>
      </w:r>
      <w:r>
        <w:rPr>
          <w:rFonts w:eastAsia="Times New Roman" w:cs="Times New Roman"/>
          <w:kern w:val="0"/>
        </w:rPr>
        <w:t>.</w:t>
      </w:r>
    </w:p>
    <w:p w:rsidR="008035E0" w:rsidRDefault="008035E0" w:rsidP="0000040A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Autocertificazione resa ai sensi egli artt. 455/2000 attestante:                                                                                                                                                   </w:t>
      </w:r>
    </w:p>
    <w:p w:rsidR="008035E0" w:rsidRPr="008035E0" w:rsidRDefault="008035E0" w:rsidP="0000040A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Gli estremi di iscrizione alla CCIAA ove previsto;</w:t>
      </w:r>
    </w:p>
    <w:p w:rsidR="00F70972" w:rsidRDefault="008035E0" w:rsidP="0000040A">
      <w:pPr>
        <w:pStyle w:val="Paragrafoelenco"/>
        <w:numPr>
          <w:ilvl w:val="0"/>
          <w:numId w:val="4"/>
        </w:numPr>
        <w:ind w:right="99"/>
        <w:jc w:val="both"/>
      </w:pPr>
      <w:r>
        <w:t>L’insussistenza delle condizioni os</w:t>
      </w:r>
      <w:r w:rsidR="00212DEB">
        <w:t>tative ad interloquire, ancorché</w:t>
      </w:r>
      <w:r>
        <w:t>, senza corrispettivo, co</w:t>
      </w:r>
      <w:r w:rsidR="00FA180B">
        <w:t xml:space="preserve">n la P.A., di cui all’art. 80 del </w:t>
      </w:r>
      <w:proofErr w:type="spellStart"/>
      <w:r w:rsidR="00FA180B">
        <w:t>D.Lgs</w:t>
      </w:r>
      <w:proofErr w:type="spellEnd"/>
      <w:r w:rsidR="00FA180B">
        <w:t xml:space="preserve"> 50/2016 (Codice dei Contratti pubblici) con elenco dettagliato delle singole condizioni ostative previste nel dettato normativo </w:t>
      </w:r>
    </w:p>
    <w:p w:rsidR="00FA180B" w:rsidRDefault="00FA180B" w:rsidP="0000040A">
      <w:pPr>
        <w:pStyle w:val="Paragrafoelenco"/>
        <w:numPr>
          <w:ilvl w:val="0"/>
          <w:numId w:val="3"/>
        </w:numPr>
        <w:ind w:right="99"/>
        <w:jc w:val="both"/>
      </w:pPr>
      <w:r>
        <w:t>Copia di un documento di identità in corso di validità del soggetto firmatario, legale rappresentante.</w:t>
      </w:r>
    </w:p>
    <w:p w:rsidR="00FA180B" w:rsidRDefault="00FA180B" w:rsidP="0000040A">
      <w:pPr>
        <w:pStyle w:val="Paragrafoelenco"/>
        <w:numPr>
          <w:ilvl w:val="0"/>
          <w:numId w:val="3"/>
        </w:numPr>
        <w:ind w:right="99"/>
        <w:jc w:val="both"/>
      </w:pPr>
      <w:r>
        <w:t>Curriculum vitae.</w:t>
      </w:r>
    </w:p>
    <w:p w:rsidR="00FA180B" w:rsidRDefault="00FA180B" w:rsidP="0000040A">
      <w:pPr>
        <w:ind w:right="99"/>
        <w:jc w:val="both"/>
      </w:pPr>
    </w:p>
    <w:p w:rsidR="00FA180B" w:rsidRDefault="00FA180B" w:rsidP="0000040A">
      <w:pPr>
        <w:ind w:right="99"/>
        <w:jc w:val="both"/>
      </w:pPr>
      <w:r>
        <w:t>Il soggetto la cui attività sarà ritenuta ammissibile</w:t>
      </w:r>
      <w:r w:rsidR="00212DEB">
        <w:t xml:space="preserve"> dal Comitato scientifico dovrà</w:t>
      </w:r>
      <w:r>
        <w:t xml:space="preserve"> provvedere alle seguenti attività:</w:t>
      </w:r>
    </w:p>
    <w:p w:rsidR="00FA180B" w:rsidRDefault="00FA180B" w:rsidP="0000040A">
      <w:pPr>
        <w:ind w:right="99"/>
        <w:jc w:val="both"/>
      </w:pPr>
    </w:p>
    <w:p w:rsidR="00FA180B" w:rsidRDefault="00FA180B" w:rsidP="0000040A">
      <w:pPr>
        <w:pStyle w:val="Paragrafoelenco"/>
        <w:numPr>
          <w:ilvl w:val="0"/>
          <w:numId w:val="5"/>
        </w:numPr>
        <w:ind w:right="99"/>
        <w:jc w:val="both"/>
      </w:pPr>
      <w:r>
        <w:t>Organizzazione dell’evento;</w:t>
      </w:r>
    </w:p>
    <w:p w:rsidR="00FA180B" w:rsidRDefault="00FA180B" w:rsidP="0000040A">
      <w:pPr>
        <w:pStyle w:val="Paragrafoelenco"/>
        <w:numPr>
          <w:ilvl w:val="0"/>
          <w:numId w:val="5"/>
        </w:numPr>
        <w:ind w:right="99"/>
        <w:jc w:val="both"/>
      </w:pPr>
      <w:r>
        <w:t>A</w:t>
      </w:r>
      <w:r w:rsidR="00212DEB">
        <w:t>llest</w:t>
      </w:r>
      <w:r>
        <w:t>imento della sala;</w:t>
      </w:r>
    </w:p>
    <w:p w:rsidR="00FA180B" w:rsidRDefault="00FA180B" w:rsidP="0000040A">
      <w:pPr>
        <w:pStyle w:val="Paragrafoelenco"/>
        <w:numPr>
          <w:ilvl w:val="0"/>
          <w:numId w:val="5"/>
        </w:numPr>
        <w:ind w:right="99"/>
        <w:jc w:val="both"/>
      </w:pPr>
      <w:r>
        <w:t>Pagamento degli eventuali oneri SIAE;</w:t>
      </w:r>
    </w:p>
    <w:p w:rsidR="00FA180B" w:rsidRDefault="00FA180B" w:rsidP="0000040A">
      <w:pPr>
        <w:pStyle w:val="Paragrafoelenco"/>
        <w:numPr>
          <w:ilvl w:val="0"/>
          <w:numId w:val="5"/>
        </w:numPr>
        <w:ind w:right="99"/>
        <w:jc w:val="both"/>
      </w:pPr>
      <w:r>
        <w:t xml:space="preserve">A </w:t>
      </w:r>
      <w:r w:rsidR="00212DEB">
        <w:t>porre a proprio esclusivo cari</w:t>
      </w:r>
      <w:r>
        <w:t>co tutti gli eventuali adempimenti indispensabili all’ottenime</w:t>
      </w:r>
      <w:r w:rsidR="00212DEB">
        <w:t>n</w:t>
      </w:r>
      <w:r>
        <w:t>to di visti, nulla osta, autorizzazioni e quant’altro necessario per l’esecuzione dell’attività, con particolare riferimento a quanto previsto dalla normativa nazionale e reg</w:t>
      </w:r>
      <w:r w:rsidR="00212DEB">
        <w:t>ionale in materia cinematografi</w:t>
      </w:r>
      <w:r>
        <w:t>c</w:t>
      </w:r>
      <w:r w:rsidR="00212DEB">
        <w:t>a</w:t>
      </w:r>
      <w:r>
        <w:t>;</w:t>
      </w:r>
    </w:p>
    <w:p w:rsidR="00FA180B" w:rsidRDefault="00FA180B" w:rsidP="0000040A">
      <w:pPr>
        <w:pStyle w:val="Paragrafoelenco"/>
        <w:numPr>
          <w:ilvl w:val="0"/>
          <w:numId w:val="5"/>
        </w:numPr>
        <w:ind w:right="99"/>
        <w:jc w:val="both"/>
      </w:pPr>
      <w:r>
        <w:t xml:space="preserve">A porre a proprio esclusivo carico </w:t>
      </w:r>
      <w:r w:rsidR="00212DEB">
        <w:t>la dota</w:t>
      </w:r>
      <w:r w:rsidR="00134D87">
        <w:t>zione di eventuale service audio-video che deve essere dotato di apposita certificazione di conformità;</w:t>
      </w:r>
    </w:p>
    <w:p w:rsidR="00134D87" w:rsidRDefault="00134D87" w:rsidP="0000040A">
      <w:pPr>
        <w:pStyle w:val="Paragrafoelenco"/>
        <w:numPr>
          <w:ilvl w:val="0"/>
          <w:numId w:val="5"/>
        </w:numPr>
        <w:ind w:right="99"/>
        <w:jc w:val="both"/>
      </w:pPr>
      <w:r>
        <w:t>A svolgere attività di custode degli arredi e delle attrezzature presenti all’</w:t>
      </w:r>
      <w:r w:rsidR="00212DEB">
        <w:t>intern</w:t>
      </w:r>
      <w:r>
        <w:t>o della Sala, pertanto è responsabile per l’uso delle attrezzature, per danni o trafugamenti di arredi e/o attrezzature e ogni altro bene messo a disposizione;</w:t>
      </w:r>
    </w:p>
    <w:p w:rsidR="00212DEB" w:rsidRDefault="00212DEB" w:rsidP="0000040A">
      <w:pPr>
        <w:pStyle w:val="Paragrafoelenco"/>
        <w:numPr>
          <w:ilvl w:val="0"/>
          <w:numId w:val="5"/>
        </w:numPr>
        <w:ind w:right="99"/>
        <w:jc w:val="both"/>
      </w:pPr>
      <w:r>
        <w:t>Rispettare la ricettività della sala de Seta di 484 persone di cui 2 posti per i diversame</w:t>
      </w:r>
      <w:r w:rsidR="0000040A">
        <w:t>n</w:t>
      </w:r>
      <w:r>
        <w:t>te abili, secondo licenza di</w:t>
      </w:r>
      <w:r w:rsidR="0000040A">
        <w:t xml:space="preserve"> PS della questura di Palermo e </w:t>
      </w:r>
      <w:r>
        <w:t>o</w:t>
      </w:r>
      <w:r w:rsidR="0000040A">
        <w:t xml:space="preserve"> </w:t>
      </w:r>
      <w:r>
        <w:t>presenza di almeno 2</w:t>
      </w:r>
      <w:r w:rsidR="0000040A">
        <w:t xml:space="preserve"> </w:t>
      </w:r>
      <w:r>
        <w:t>addetti antincendio muniti di attesta</w:t>
      </w:r>
      <w:r w:rsidR="0000040A">
        <w:t>t</w:t>
      </w:r>
      <w:r>
        <w:t>o di idoneità rilasciato dai Vigili del Fuoco;</w:t>
      </w:r>
    </w:p>
    <w:p w:rsidR="00212DEB" w:rsidRDefault="00212DEB" w:rsidP="0000040A">
      <w:pPr>
        <w:pStyle w:val="Paragrafoelenco"/>
        <w:numPr>
          <w:ilvl w:val="0"/>
          <w:numId w:val="5"/>
        </w:numPr>
        <w:ind w:right="99"/>
        <w:jc w:val="both"/>
      </w:pPr>
      <w:r>
        <w:t xml:space="preserve">A corrispondere all’Amministrazione comunale il canone d’uso temporaneo </w:t>
      </w:r>
      <w:r w:rsidR="00F37C31">
        <w:t>d</w:t>
      </w:r>
      <w:r w:rsidR="0000040A">
        <w:t>etermin</w:t>
      </w:r>
      <w:r>
        <w:t>ato</w:t>
      </w:r>
      <w:r w:rsidR="00F37C31">
        <w:t xml:space="preserve"> dalla CTV del Settore Valorizzazione Risorse Patrimoniali in relazione al tempo di utilizzazion</w:t>
      </w:r>
      <w:r w:rsidR="0000040A">
        <w:t>e</w:t>
      </w:r>
      <w:r w:rsidR="00F37C31">
        <w:t>, nel caso in cui l’ingresso non è aperto al pubblico gratuitamente;</w:t>
      </w:r>
    </w:p>
    <w:p w:rsidR="00F37C31" w:rsidRDefault="00F37C31" w:rsidP="00FA180B">
      <w:pPr>
        <w:pStyle w:val="Paragrafoelenco"/>
        <w:numPr>
          <w:ilvl w:val="0"/>
          <w:numId w:val="5"/>
        </w:numPr>
        <w:ind w:right="99"/>
        <w:jc w:val="both"/>
      </w:pPr>
      <w:r>
        <w:lastRenderedPageBreak/>
        <w:t>A por</w:t>
      </w:r>
      <w:r w:rsidR="0000040A">
        <w:t>re in essere qualora necessario</w:t>
      </w:r>
      <w:r>
        <w:t>, tutte le misure previste dalla direttiva del Ministero dell’Interno n. 11001/110 del 28/07/2017 e</w:t>
      </w:r>
      <w:r w:rsidR="0000040A">
        <w:t xml:space="preserve"> circolare della Prefettura di P</w:t>
      </w:r>
      <w:r>
        <w:t>alermo n. 99801 del 04/09/2017</w:t>
      </w:r>
    </w:p>
    <w:p w:rsidR="00F37C31" w:rsidRDefault="00F37C31" w:rsidP="00FA180B">
      <w:pPr>
        <w:pStyle w:val="Paragrafoelenco"/>
        <w:numPr>
          <w:ilvl w:val="0"/>
          <w:numId w:val="5"/>
        </w:numPr>
        <w:ind w:right="99"/>
        <w:jc w:val="both"/>
      </w:pPr>
      <w:r>
        <w:t>A porre in essere tutti gli adempimenti previste da leggi, regolamenti, ordi</w:t>
      </w:r>
      <w:r w:rsidR="0000040A">
        <w:t>n</w:t>
      </w:r>
      <w:r>
        <w:t>anze in materi anticovid-19;</w:t>
      </w:r>
    </w:p>
    <w:p w:rsidR="00F37C31" w:rsidRDefault="0000040A" w:rsidP="00FA180B">
      <w:pPr>
        <w:pStyle w:val="Paragrafoelenco"/>
        <w:numPr>
          <w:ilvl w:val="0"/>
          <w:numId w:val="5"/>
        </w:numPr>
        <w:ind w:right="99"/>
        <w:jc w:val="both"/>
      </w:pPr>
      <w:r>
        <w:t>Si prec</w:t>
      </w:r>
      <w:r w:rsidR="00F37C31">
        <w:t>isa che è onere</w:t>
      </w:r>
      <w:r>
        <w:t xml:space="preserve"> del soggetto proponen</w:t>
      </w:r>
      <w:r w:rsidR="00F37C31">
        <w:t>te attenersi rigorosamente alle diverse direttive emanate dalla Questura in tema di organizzazione di iniziative e manifestazioni pubbliche e che ogni onere derivante da tali adempimenti è a carico dell’operatore economico.</w:t>
      </w:r>
    </w:p>
    <w:p w:rsidR="00F37C31" w:rsidRDefault="00F37C31" w:rsidP="00F37C31">
      <w:pPr>
        <w:ind w:right="99"/>
        <w:jc w:val="both"/>
      </w:pPr>
    </w:p>
    <w:p w:rsidR="00F37C31" w:rsidRPr="00B83536" w:rsidRDefault="00F37C31" w:rsidP="00F37C31">
      <w:pPr>
        <w:ind w:left="180" w:right="99"/>
        <w:jc w:val="both"/>
        <w:rPr>
          <w:b/>
        </w:rPr>
      </w:pPr>
      <w:r w:rsidRPr="00B83536">
        <w:rPr>
          <w:b/>
        </w:rPr>
        <w:t xml:space="preserve">TERMINI E MODALITA’DI PRESENTAZIONE DELLE MANIFESTAZIONI DI INTERESSE </w:t>
      </w:r>
    </w:p>
    <w:p w:rsidR="00F37C31" w:rsidRDefault="00F37C31" w:rsidP="00F37C31">
      <w:pPr>
        <w:ind w:left="180" w:right="99"/>
        <w:jc w:val="both"/>
      </w:pPr>
      <w:r>
        <w:t xml:space="preserve">I soggetti interessati dovranno presentare all’Area delle Culture, la propria proposta </w:t>
      </w:r>
      <w:r w:rsidRPr="00167215">
        <w:rPr>
          <w:b/>
        </w:rPr>
        <w:t xml:space="preserve">entro il </w:t>
      </w:r>
      <w:r w:rsidR="00BD0835">
        <w:rPr>
          <w:b/>
        </w:rPr>
        <w:t xml:space="preserve">7 febbraio </w:t>
      </w:r>
      <w:proofErr w:type="gramStart"/>
      <w:r w:rsidR="00BD0835">
        <w:rPr>
          <w:b/>
        </w:rPr>
        <w:t>2022</w:t>
      </w:r>
      <w:r w:rsidR="005E1001">
        <w:rPr>
          <w:b/>
        </w:rPr>
        <w:t xml:space="preserve"> </w:t>
      </w:r>
      <w:r w:rsidR="00167215" w:rsidRPr="00167215">
        <w:rPr>
          <w:b/>
        </w:rPr>
        <w:t>,</w:t>
      </w:r>
      <w:proofErr w:type="gramEnd"/>
      <w:r w:rsidR="00167215" w:rsidRPr="00167215">
        <w:rPr>
          <w:b/>
        </w:rPr>
        <w:t xml:space="preserve"> entro e non oltre le ore 12,00 a pena di esclusione</w:t>
      </w:r>
      <w:r w:rsidR="00167215">
        <w:t xml:space="preserve"> nel modo seguente:</w:t>
      </w:r>
    </w:p>
    <w:p w:rsidR="00167215" w:rsidRDefault="00167215" w:rsidP="00F37C31">
      <w:pPr>
        <w:ind w:left="180" w:right="99"/>
        <w:jc w:val="both"/>
      </w:pPr>
    </w:p>
    <w:p w:rsidR="00167215" w:rsidRDefault="00167215" w:rsidP="00167215">
      <w:pPr>
        <w:pStyle w:val="Paragrafoelenco"/>
        <w:numPr>
          <w:ilvl w:val="0"/>
          <w:numId w:val="6"/>
        </w:numPr>
        <w:ind w:right="99"/>
        <w:jc w:val="both"/>
      </w:pPr>
      <w:r>
        <w:t>Consegnate a mano al protocollo dell’Area delle Culture – Palazzo Ziino – Via Dante n. 53 – Palermo</w:t>
      </w:r>
    </w:p>
    <w:p w:rsidR="00167215" w:rsidRDefault="00167215" w:rsidP="00167215">
      <w:pPr>
        <w:pStyle w:val="Paragrafoelenco"/>
        <w:numPr>
          <w:ilvl w:val="0"/>
          <w:numId w:val="6"/>
        </w:numPr>
        <w:ind w:right="99"/>
        <w:jc w:val="both"/>
      </w:pPr>
      <w:r>
        <w:t>Spedite tramite raccomandata</w:t>
      </w:r>
      <w:r w:rsidR="0000040A">
        <w:t xml:space="preserve"> A/R all’area delle Culture, vi</w:t>
      </w:r>
      <w:r>
        <w:t xml:space="preserve">a Dante 53 –Palermo pervenute entro le ore </w:t>
      </w:r>
      <w:r w:rsidR="005E1001">
        <w:t xml:space="preserve">12,00 del </w:t>
      </w:r>
      <w:r w:rsidR="00BD0835">
        <w:t>7 febbraio 2022</w:t>
      </w:r>
      <w:r>
        <w:t>.</w:t>
      </w:r>
    </w:p>
    <w:p w:rsidR="00167215" w:rsidRDefault="00167215" w:rsidP="00167215">
      <w:pPr>
        <w:pStyle w:val="Paragrafoelenco"/>
        <w:ind w:left="900" w:right="99"/>
        <w:jc w:val="both"/>
      </w:pPr>
    </w:p>
    <w:p w:rsidR="00167215" w:rsidRPr="00554EBD" w:rsidRDefault="00167215" w:rsidP="00167215">
      <w:pPr>
        <w:jc w:val="center"/>
        <w:rPr>
          <w:rFonts w:cs="Times New Roman"/>
          <w:b/>
        </w:rPr>
      </w:pPr>
      <w:r>
        <w:t>Ciascuna manifestazione di interesse dovrà essere contenuta in un plico recante all’esterno, pena l’esclusione, l’indicazione del mittente e la dicitura “</w:t>
      </w:r>
      <w:r w:rsidRPr="00554EBD">
        <w:rPr>
          <w:rFonts w:cs="Times New Roman"/>
          <w:b/>
        </w:rPr>
        <w:t xml:space="preserve">Manifestazione d’Interesse </w:t>
      </w:r>
    </w:p>
    <w:p w:rsidR="00167215" w:rsidRDefault="00167215" w:rsidP="00167215">
      <w:pPr>
        <w:pStyle w:val="Paragrafoelenco"/>
        <w:ind w:left="142" w:right="99"/>
        <w:jc w:val="both"/>
        <w:rPr>
          <w:rFonts w:cs="Times New Roman"/>
          <w:b/>
        </w:rPr>
      </w:pPr>
      <w:r w:rsidRPr="00554EBD">
        <w:rPr>
          <w:rFonts w:cs="Times New Roman"/>
          <w:b/>
        </w:rPr>
        <w:t>F</w:t>
      </w:r>
      <w:r>
        <w:rPr>
          <w:rFonts w:cs="Times New Roman"/>
          <w:b/>
        </w:rPr>
        <w:t xml:space="preserve">inalizzato </w:t>
      </w:r>
      <w:r w:rsidRPr="00554EBD">
        <w:rPr>
          <w:rFonts w:cs="Times New Roman"/>
          <w:b/>
        </w:rPr>
        <w:t xml:space="preserve">alla realizzazione di progetti culturali per la valorizzazione della Sala Cinematografica Vittorio De Seta </w:t>
      </w:r>
      <w:r>
        <w:rPr>
          <w:rFonts w:cs="Times New Roman"/>
          <w:b/>
        </w:rPr>
        <w:t>I semestre 2022”</w:t>
      </w:r>
    </w:p>
    <w:p w:rsidR="00167215" w:rsidRDefault="00167215" w:rsidP="00167215">
      <w:pPr>
        <w:pStyle w:val="Paragrafoelenco"/>
        <w:ind w:left="142" w:right="99"/>
        <w:jc w:val="both"/>
      </w:pPr>
    </w:p>
    <w:p w:rsidR="004F5E40" w:rsidRDefault="00167215" w:rsidP="00F70972">
      <w:pPr>
        <w:tabs>
          <w:tab w:val="left" w:pos="3975"/>
          <w:tab w:val="center" w:pos="6804"/>
        </w:tabs>
        <w:ind w:left="180" w:right="99"/>
        <w:jc w:val="both"/>
      </w:pPr>
      <w:r>
        <w:t>Inoltre la manifestazi</w:t>
      </w:r>
      <w:r w:rsidR="004F5E40">
        <w:t>one di interesse, a pena di inammissibilità, deve essere sottoscritta dal Rappresentante Legale del Soggetto proponente, attestante il possesso dei requisiti di ammissibilità.</w:t>
      </w:r>
    </w:p>
    <w:p w:rsidR="004F5E40" w:rsidRDefault="004F5E40" w:rsidP="00F70972">
      <w:pPr>
        <w:tabs>
          <w:tab w:val="left" w:pos="3975"/>
          <w:tab w:val="center" w:pos="6804"/>
        </w:tabs>
        <w:ind w:left="180" w:right="99"/>
        <w:jc w:val="both"/>
      </w:pPr>
      <w:r>
        <w:t>Le manifestazioni di interesse presentate in maniera incompleta o comunque secondo modalità difformi da quelle indicate, oppure prive in tutto o in parte della documentazione richiesta oppure presentate fuori termine, saranno escluse dalla procedura.</w:t>
      </w:r>
    </w:p>
    <w:p w:rsidR="004F5E40" w:rsidRDefault="004F5E40" w:rsidP="00F70972">
      <w:pPr>
        <w:tabs>
          <w:tab w:val="left" w:pos="3975"/>
          <w:tab w:val="center" w:pos="6804"/>
        </w:tabs>
        <w:ind w:left="180" w:right="99"/>
        <w:jc w:val="both"/>
      </w:pPr>
    </w:p>
    <w:p w:rsidR="004F5E40" w:rsidRPr="00B83536" w:rsidRDefault="004F5E40" w:rsidP="00F70972">
      <w:pPr>
        <w:tabs>
          <w:tab w:val="left" w:pos="3975"/>
          <w:tab w:val="center" w:pos="6804"/>
        </w:tabs>
        <w:ind w:left="180" w:right="99"/>
        <w:jc w:val="both"/>
        <w:rPr>
          <w:b/>
        </w:rPr>
      </w:pPr>
      <w:r w:rsidRPr="00B83536">
        <w:rPr>
          <w:b/>
        </w:rPr>
        <w:t xml:space="preserve">AMMISSIBILITA’ E VALUTAZIONE </w:t>
      </w:r>
    </w:p>
    <w:p w:rsidR="00DE5CD4" w:rsidRDefault="004F5E40" w:rsidP="00F70972">
      <w:pPr>
        <w:tabs>
          <w:tab w:val="left" w:pos="3975"/>
          <w:tab w:val="center" w:pos="6804"/>
        </w:tabs>
        <w:ind w:left="180" w:right="99"/>
        <w:jc w:val="both"/>
      </w:pPr>
      <w:r>
        <w:t>Sono ammissibili progetti della tipologia indicata nel presente avviso in “DESCRIZIONE DEI PROGETTI”</w:t>
      </w:r>
      <w:r w:rsidR="00DE5CD4">
        <w:t xml:space="preserve"> che prevedano la diffusione e la promozione della cultura cinematografica e dell’audiovisivo attraverso la creazione e organizzazione di eventi e iniziative culturali che possano determinare, anche, opportunità di crescita e sviluppo per il territorio.</w:t>
      </w:r>
    </w:p>
    <w:p w:rsidR="00DE5CD4" w:rsidRDefault="00DE5CD4" w:rsidP="00F70972">
      <w:pPr>
        <w:tabs>
          <w:tab w:val="left" w:pos="3975"/>
          <w:tab w:val="center" w:pos="6804"/>
        </w:tabs>
        <w:ind w:left="180" w:right="99"/>
        <w:jc w:val="both"/>
      </w:pPr>
      <w:r>
        <w:t xml:space="preserve">Il progetto dovrà contenere necessariamente, a pena di non considerazione, le seguenti informazioni: </w:t>
      </w:r>
    </w:p>
    <w:p w:rsidR="00DE5CD4" w:rsidRDefault="00DE5CD4" w:rsidP="00F70972">
      <w:pPr>
        <w:tabs>
          <w:tab w:val="left" w:pos="3975"/>
          <w:tab w:val="center" w:pos="6804"/>
        </w:tabs>
        <w:ind w:left="180" w:right="99"/>
        <w:jc w:val="both"/>
      </w:pPr>
    </w:p>
    <w:p w:rsidR="00F70972" w:rsidRDefault="00DE5CD4" w:rsidP="00DE5CD4">
      <w:pPr>
        <w:pStyle w:val="Paragrafoelenco"/>
        <w:numPr>
          <w:ilvl w:val="0"/>
          <w:numId w:val="6"/>
        </w:numPr>
        <w:tabs>
          <w:tab w:val="left" w:pos="3975"/>
          <w:tab w:val="center" w:pos="6804"/>
        </w:tabs>
        <w:ind w:right="99"/>
        <w:jc w:val="both"/>
      </w:pPr>
      <w:r>
        <w:t>Tipologia attività, programma e date di svolgimento;</w:t>
      </w:r>
    </w:p>
    <w:p w:rsidR="00DE5CD4" w:rsidRDefault="00DE5CD4" w:rsidP="00DE5CD4">
      <w:pPr>
        <w:pStyle w:val="Paragrafoelenco"/>
        <w:numPr>
          <w:ilvl w:val="0"/>
          <w:numId w:val="6"/>
        </w:numPr>
        <w:tabs>
          <w:tab w:val="left" w:pos="3975"/>
          <w:tab w:val="center" w:pos="6804"/>
        </w:tabs>
        <w:ind w:right="99"/>
        <w:jc w:val="both"/>
      </w:pPr>
      <w:r>
        <w:t>Eventuali allestimenti</w:t>
      </w:r>
    </w:p>
    <w:p w:rsidR="00DE5CD4" w:rsidRDefault="00DE5CD4" w:rsidP="00DE5CD4">
      <w:pPr>
        <w:pStyle w:val="Paragrafoelenco"/>
        <w:numPr>
          <w:ilvl w:val="0"/>
          <w:numId w:val="6"/>
        </w:numPr>
        <w:tabs>
          <w:tab w:val="left" w:pos="3975"/>
          <w:tab w:val="center" w:pos="6804"/>
        </w:tabs>
        <w:ind w:right="99"/>
        <w:jc w:val="both"/>
      </w:pPr>
      <w:r>
        <w:t>Tipologia e stima della quantità di pubblico coinvolto;</w:t>
      </w:r>
    </w:p>
    <w:p w:rsidR="00DE5CD4" w:rsidRDefault="00DE5CD4" w:rsidP="00DE5CD4">
      <w:pPr>
        <w:tabs>
          <w:tab w:val="left" w:pos="3975"/>
          <w:tab w:val="center" w:pos="6804"/>
        </w:tabs>
        <w:ind w:right="99"/>
        <w:jc w:val="both"/>
      </w:pPr>
    </w:p>
    <w:p w:rsidR="00DE5CD4" w:rsidRDefault="00DE5CD4" w:rsidP="0000040A">
      <w:pPr>
        <w:tabs>
          <w:tab w:val="left" w:pos="3975"/>
          <w:tab w:val="center" w:pos="6804"/>
        </w:tabs>
        <w:ind w:right="99"/>
        <w:jc w:val="both"/>
      </w:pPr>
      <w:r>
        <w:t>La valutazione delle proposte sarà effettuata dal Comitato tecnico-scientifico formato dal Comune di Palermo e la Filmoteca Regionale Siciliana, l’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Palermo e il Goethe-</w:t>
      </w:r>
      <w:proofErr w:type="spellStart"/>
      <w:r>
        <w:t>Institut</w:t>
      </w:r>
      <w:proofErr w:type="spellEnd"/>
      <w:r>
        <w:t xml:space="preserve"> Palermo nel rispetto ed applicazione della normativa vigente in tema di affidamenti pubblici e</w:t>
      </w:r>
      <w:r w:rsidR="0000040A">
        <w:t xml:space="preserve"> del Regolamento vigente relativ</w:t>
      </w:r>
      <w:r>
        <w:t>o alla gestione dei beni immobili di proprietà comunale.</w:t>
      </w:r>
    </w:p>
    <w:p w:rsidR="00DE5CD4" w:rsidRDefault="00DE5CD4" w:rsidP="0000040A">
      <w:pPr>
        <w:tabs>
          <w:tab w:val="left" w:pos="3975"/>
          <w:tab w:val="center" w:pos="6804"/>
        </w:tabs>
        <w:ind w:right="99"/>
        <w:jc w:val="both"/>
      </w:pPr>
    </w:p>
    <w:p w:rsidR="00DE5CD4" w:rsidRPr="00B83536" w:rsidRDefault="00DE5CD4" w:rsidP="0000040A">
      <w:pPr>
        <w:tabs>
          <w:tab w:val="left" w:pos="3975"/>
          <w:tab w:val="center" w:pos="6804"/>
        </w:tabs>
        <w:ind w:right="99"/>
        <w:jc w:val="both"/>
        <w:rPr>
          <w:b/>
        </w:rPr>
      </w:pPr>
      <w:r w:rsidRPr="00B83536">
        <w:rPr>
          <w:b/>
        </w:rPr>
        <w:t>MODALITA’ DI FORMAZIONE DELLA GRADUATORIA</w:t>
      </w:r>
    </w:p>
    <w:p w:rsidR="00DE5CD4" w:rsidRDefault="00AA0B89" w:rsidP="0000040A">
      <w:pPr>
        <w:tabs>
          <w:tab w:val="left" w:pos="3975"/>
          <w:tab w:val="center" w:pos="6804"/>
        </w:tabs>
        <w:ind w:right="99"/>
        <w:jc w:val="both"/>
      </w:pPr>
      <w:r>
        <w:t>Verrà formata una graduatoria delle proposte presentate e ritenute ammissibili.</w:t>
      </w:r>
    </w:p>
    <w:p w:rsidR="00AA0B89" w:rsidRDefault="00AA0B89" w:rsidP="0000040A">
      <w:pPr>
        <w:tabs>
          <w:tab w:val="left" w:pos="3975"/>
          <w:tab w:val="center" w:pos="6804"/>
        </w:tabs>
        <w:ind w:right="99"/>
        <w:jc w:val="both"/>
      </w:pPr>
      <w:r>
        <w:t>In caso di parità di punteggio avrà priorità la manifestazione di interesse con maggiore durata.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  <w:r>
        <w:t>I Soggetti che avranno le giornate indicate occupate da chi è posizionato in graduatoria prima, potranno chiedere di spostare la programmazione nelle giornate ancora non impegnate.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  <w:r>
        <w:t>La valutazione finale del Comitato sull’ammissibilità dell’iniziativa / evento / sarà resa nota, sul sito istituzionale del Comune di Palermo.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</w:p>
    <w:p w:rsidR="00964F38" w:rsidRPr="00B83536" w:rsidRDefault="00964F38" w:rsidP="0000040A">
      <w:pPr>
        <w:tabs>
          <w:tab w:val="left" w:pos="3975"/>
          <w:tab w:val="center" w:pos="6804"/>
        </w:tabs>
        <w:ind w:right="99"/>
        <w:jc w:val="both"/>
        <w:rPr>
          <w:b/>
        </w:rPr>
      </w:pPr>
      <w:r w:rsidRPr="00B83536">
        <w:rPr>
          <w:b/>
        </w:rPr>
        <w:t>CLAUSOLE DI SALVAGUARDIA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  <w:r>
        <w:t>L’Amministrazione Comunale si riserva la facoltà di revocare o modificare il presente avviso pubblico per ragioni di interesse pubblico connessi ad una modifica dei piani e/o obiettivi strategici perseguiti.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</w:p>
    <w:p w:rsidR="00964F38" w:rsidRPr="00B83536" w:rsidRDefault="00964F38" w:rsidP="0000040A">
      <w:pPr>
        <w:tabs>
          <w:tab w:val="left" w:pos="3975"/>
          <w:tab w:val="center" w:pos="6804"/>
        </w:tabs>
        <w:ind w:right="99"/>
        <w:jc w:val="both"/>
        <w:rPr>
          <w:b/>
        </w:rPr>
      </w:pPr>
      <w:r w:rsidRPr="00B83536">
        <w:rPr>
          <w:b/>
        </w:rPr>
        <w:t>TRATTAMENTO DEI DATI PERSONALI</w:t>
      </w:r>
    </w:p>
    <w:p w:rsidR="00964F38" w:rsidRDefault="00964F38" w:rsidP="0000040A">
      <w:pPr>
        <w:tabs>
          <w:tab w:val="left" w:pos="3975"/>
          <w:tab w:val="center" w:pos="6804"/>
        </w:tabs>
        <w:ind w:right="99"/>
        <w:jc w:val="both"/>
      </w:pPr>
      <w:r>
        <w:t>I dati personali comunicati all’Amministrazione</w:t>
      </w:r>
      <w:r w:rsidR="00FC7699">
        <w:t xml:space="preserve"> Comunale a seguito presente avviso, saranno trattati nel rispetto e secondo le modalità e finalità stabilite nel D. </w:t>
      </w:r>
      <w:proofErr w:type="spellStart"/>
      <w:r w:rsidR="00FC7699">
        <w:t>Lgs</w:t>
      </w:r>
      <w:proofErr w:type="spellEnd"/>
      <w:r w:rsidR="00FC7699">
        <w:t>. 196/2003.</w:t>
      </w:r>
    </w:p>
    <w:p w:rsidR="00FC7699" w:rsidRDefault="00FC7699" w:rsidP="0000040A">
      <w:pPr>
        <w:tabs>
          <w:tab w:val="left" w:pos="3975"/>
          <w:tab w:val="center" w:pos="6804"/>
        </w:tabs>
        <w:ind w:right="99"/>
        <w:jc w:val="both"/>
      </w:pPr>
    </w:p>
    <w:p w:rsidR="00FC7699" w:rsidRDefault="00FC7699" w:rsidP="0000040A">
      <w:pPr>
        <w:tabs>
          <w:tab w:val="left" w:pos="3975"/>
          <w:tab w:val="center" w:pos="6804"/>
        </w:tabs>
        <w:ind w:right="99"/>
        <w:jc w:val="both"/>
      </w:pPr>
      <w:r>
        <w:t xml:space="preserve">Il presente avviso verrà pubblicato sul sito </w:t>
      </w:r>
      <w:hyperlink r:id="rId7" w:history="1">
        <w:r w:rsidRPr="00854884">
          <w:rPr>
            <w:rStyle w:val="Collegamentoipertestuale"/>
          </w:rPr>
          <w:t>www.comune.palermo.it</w:t>
        </w:r>
      </w:hyperlink>
      <w:r>
        <w:t>.</w:t>
      </w:r>
    </w:p>
    <w:p w:rsidR="00FC7699" w:rsidRDefault="00FC7699" w:rsidP="00DE5CD4">
      <w:pPr>
        <w:tabs>
          <w:tab w:val="left" w:pos="3975"/>
          <w:tab w:val="center" w:pos="6804"/>
        </w:tabs>
        <w:ind w:right="99"/>
        <w:jc w:val="both"/>
      </w:pPr>
    </w:p>
    <w:p w:rsidR="00FC7699" w:rsidRDefault="00FC7699" w:rsidP="00DE5CD4">
      <w:pPr>
        <w:tabs>
          <w:tab w:val="left" w:pos="3975"/>
          <w:tab w:val="center" w:pos="6804"/>
        </w:tabs>
        <w:ind w:right="99"/>
        <w:jc w:val="both"/>
      </w:pPr>
    </w:p>
    <w:p w:rsidR="00FC7699" w:rsidRDefault="00FC7699" w:rsidP="00DE5CD4">
      <w:pPr>
        <w:tabs>
          <w:tab w:val="left" w:pos="3975"/>
          <w:tab w:val="center" w:pos="6804"/>
        </w:tabs>
        <w:ind w:right="99"/>
        <w:jc w:val="both"/>
      </w:pPr>
    </w:p>
    <w:p w:rsidR="00AA0B89" w:rsidRDefault="00AA0B89" w:rsidP="00DE5CD4">
      <w:pPr>
        <w:tabs>
          <w:tab w:val="left" w:pos="3975"/>
          <w:tab w:val="center" w:pos="6804"/>
        </w:tabs>
        <w:ind w:right="99"/>
        <w:jc w:val="both"/>
      </w:pPr>
    </w:p>
    <w:p w:rsidR="00F70972" w:rsidRDefault="00F70972" w:rsidP="00F70972">
      <w:pPr>
        <w:tabs>
          <w:tab w:val="left" w:pos="3975"/>
          <w:tab w:val="center" w:pos="6804"/>
        </w:tabs>
        <w:ind w:left="180" w:right="99"/>
        <w:jc w:val="both"/>
      </w:pPr>
    </w:p>
    <w:p w:rsidR="00F70972" w:rsidRDefault="00F70972" w:rsidP="00F70972">
      <w:pPr>
        <w:tabs>
          <w:tab w:val="left" w:pos="3975"/>
          <w:tab w:val="center" w:pos="6804"/>
        </w:tabs>
        <w:ind w:left="180" w:right="99"/>
        <w:jc w:val="both"/>
        <w:rPr>
          <w:i/>
        </w:rPr>
      </w:pPr>
      <w:r>
        <w:tab/>
      </w:r>
      <w:r>
        <w:tab/>
      </w:r>
      <w:r>
        <w:tab/>
        <w:t>Il Capo Area</w:t>
      </w:r>
      <w:r>
        <w:rPr>
          <w:i/>
        </w:rPr>
        <w:t xml:space="preserve">          </w:t>
      </w:r>
    </w:p>
    <w:p w:rsidR="00F70972" w:rsidRPr="00CD1A2A" w:rsidRDefault="00F70972" w:rsidP="00F70972">
      <w:pPr>
        <w:tabs>
          <w:tab w:val="left" w:pos="3240"/>
          <w:tab w:val="left" w:pos="6300"/>
        </w:tabs>
        <w:overflowPunct w:val="0"/>
        <w:autoSpaceDE w:val="0"/>
        <w:jc w:val="both"/>
        <w:rPr>
          <w:i/>
          <w:color w:val="000000"/>
        </w:rPr>
      </w:pPr>
      <w:r>
        <w:rPr>
          <w:i/>
        </w:rPr>
        <w:t xml:space="preserve">                          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b/>
          <w:i/>
        </w:rPr>
        <w:t xml:space="preserve">Dr. Domenico Verona                                                </w:t>
      </w:r>
    </w:p>
    <w:p w:rsidR="00F70972" w:rsidRDefault="00F70972" w:rsidP="00F70972">
      <w:pPr>
        <w:tabs>
          <w:tab w:val="left" w:pos="3240"/>
          <w:tab w:val="left" w:pos="6300"/>
        </w:tabs>
        <w:overflowPunct w:val="0"/>
        <w:autoSpaceDE w:val="0"/>
        <w:spacing w:line="360" w:lineRule="auto"/>
        <w:jc w:val="both"/>
      </w:pPr>
    </w:p>
    <w:p w:rsidR="006C3C01" w:rsidRDefault="00DC63EF" w:rsidP="00DC63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</w:p>
    <w:p w:rsidR="00963D8C" w:rsidRDefault="00963D8C" w:rsidP="00DC63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963D8C" w:rsidRDefault="00DC63EF" w:rsidP="00DC63E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 w:rsidR="00963D8C">
        <w:rPr>
          <w:rFonts w:eastAsia="Times New Roman" w:cs="Times New Roman"/>
          <w:kern w:val="0"/>
        </w:rPr>
        <w:t xml:space="preserve">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6"/>
        <w:gridCol w:w="608"/>
        <w:gridCol w:w="8795"/>
      </w:tblGrid>
      <w:tr w:rsidR="006C3C01" w:rsidTr="005D6229">
        <w:tc>
          <w:tcPr>
            <w:tcW w:w="236" w:type="dxa"/>
            <w:shd w:val="clear" w:color="auto" w:fill="auto"/>
          </w:tcPr>
          <w:p w:rsidR="006C3C01" w:rsidRDefault="00DC63EF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</w:r>
            <w:r>
              <w:rPr>
                <w:rFonts w:eastAsia="Times New Roman" w:cs="Times New Roman"/>
                <w:kern w:val="0"/>
              </w:rPr>
              <w:tab/>
              <w:t xml:space="preserve"> Dott. Domenico Verona</w:t>
            </w: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3C01" w:rsidTr="005D6229">
        <w:tc>
          <w:tcPr>
            <w:tcW w:w="236" w:type="dxa"/>
            <w:shd w:val="clear" w:color="auto" w:fill="auto"/>
          </w:tcPr>
          <w:p w:rsidR="006C3C01" w:rsidRDefault="006C3C01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6C3C01" w:rsidRDefault="006C3C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6C3C01" w:rsidRDefault="006C3C01">
            <w:pPr>
              <w:jc w:val="right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DC63EF" w:rsidTr="005D6229">
        <w:tc>
          <w:tcPr>
            <w:tcW w:w="236" w:type="dxa"/>
            <w:shd w:val="clear" w:color="auto" w:fill="auto"/>
          </w:tcPr>
          <w:p w:rsidR="00DC63EF" w:rsidRDefault="00DC63EF" w:rsidP="005D6229">
            <w:pPr>
              <w:ind w:left="-5178" w:right="-4718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</w:tcPr>
          <w:p w:rsidR="00DC63EF" w:rsidRDefault="00DC63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95" w:type="dxa"/>
            <w:shd w:val="clear" w:color="auto" w:fill="auto"/>
          </w:tcPr>
          <w:p w:rsidR="00DC63EF" w:rsidRDefault="00DC63EF">
            <w:pPr>
              <w:jc w:val="right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:rsidR="006C3C01" w:rsidRDefault="006C3C01">
      <w:pPr>
        <w:rPr>
          <w:rFonts w:cs="Times New Roman"/>
        </w:rPr>
      </w:pPr>
    </w:p>
    <w:p w:rsidR="006C3C01" w:rsidRDefault="006C3C01">
      <w:pPr>
        <w:rPr>
          <w:rFonts w:cs="Times New Roman"/>
        </w:rPr>
      </w:pPr>
    </w:p>
    <w:p w:rsidR="006C3C01" w:rsidRDefault="006C3C01">
      <w:pPr>
        <w:jc w:val="both"/>
        <w:rPr>
          <w:rFonts w:cs="Times New Roman"/>
        </w:rPr>
      </w:pPr>
    </w:p>
    <w:p w:rsidR="006C3C01" w:rsidRDefault="006C3C01">
      <w:pPr>
        <w:jc w:val="both"/>
        <w:rPr>
          <w:rFonts w:cs="Times New Roman"/>
        </w:rPr>
      </w:pPr>
    </w:p>
    <w:p w:rsidR="006C3C01" w:rsidRDefault="006C3C01">
      <w:pPr>
        <w:jc w:val="both"/>
        <w:rPr>
          <w:rFonts w:cs="Times New Roman"/>
        </w:rPr>
      </w:pPr>
    </w:p>
    <w:p w:rsidR="006C3C01" w:rsidRDefault="006C3C01">
      <w:pPr>
        <w:jc w:val="both"/>
        <w:rPr>
          <w:rFonts w:cs="Times New Roman"/>
        </w:rPr>
      </w:pPr>
    </w:p>
    <w:p w:rsidR="006C3C01" w:rsidRDefault="006C3C01">
      <w:pPr>
        <w:jc w:val="both"/>
        <w:rPr>
          <w:rFonts w:cs="Times New Roman"/>
        </w:rPr>
      </w:pPr>
    </w:p>
    <w:sectPr w:rsidR="006C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62" w:right="1286" w:bottom="1134" w:left="1134" w:header="70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BF" w:rsidRDefault="00F609BF">
      <w:r>
        <w:separator/>
      </w:r>
    </w:p>
  </w:endnote>
  <w:endnote w:type="continuationSeparator" w:id="0">
    <w:p w:rsidR="00F609BF" w:rsidRDefault="00F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3" w:rsidRDefault="00E14B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1" w:rsidRDefault="006C3C0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3" w:rsidRDefault="00E14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BF" w:rsidRDefault="00F609BF">
      <w:r>
        <w:rPr>
          <w:color w:val="000000"/>
        </w:rPr>
        <w:separator/>
      </w:r>
    </w:p>
  </w:footnote>
  <w:footnote w:type="continuationSeparator" w:id="0">
    <w:p w:rsidR="00F609BF" w:rsidRDefault="00F6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3" w:rsidRDefault="00E14B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01" w:rsidRDefault="006D585D">
    <w:pPr>
      <w:pStyle w:val="Heading"/>
      <w:tabs>
        <w:tab w:val="left" w:pos="1305"/>
        <w:tab w:val="right" w:pos="9486"/>
      </w:tabs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4758918</wp:posOffset>
          </wp:positionH>
          <wp:positionV relativeFrom="paragraph">
            <wp:posOffset>134620</wp:posOffset>
          </wp:positionV>
          <wp:extent cx="1653235" cy="553577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35" cy="55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838200" cy="838200"/>
          <wp:effectExtent l="0" t="0" r="7620" b="7620"/>
          <wp:wrapNone/>
          <wp:docPr id="15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b/>
        <w:sz w:val="32"/>
        <w:szCs w:val="40"/>
      </w:rPr>
      <w:t>COMUNE DI PALERMO</w:t>
    </w:r>
  </w:p>
  <w:p w:rsidR="006C3C01" w:rsidRDefault="003E112F">
    <w:pPr>
      <w:pStyle w:val="Heading"/>
      <w:tabs>
        <w:tab w:val="left" w:pos="1305"/>
        <w:tab w:val="right" w:pos="9486"/>
      </w:tabs>
      <w:jc w:val="center"/>
      <w:rPr>
        <w:b/>
        <w:szCs w:val="32"/>
      </w:rPr>
    </w:pPr>
    <w:r>
      <w:rPr>
        <w:b/>
        <w:szCs w:val="32"/>
      </w:rPr>
      <w:t>Area della Culture</w:t>
    </w:r>
  </w:p>
  <w:p w:rsidR="006C3C01" w:rsidRDefault="00E14B73">
    <w:pPr>
      <w:pStyle w:val="Heading"/>
      <w:tabs>
        <w:tab w:val="left" w:pos="1305"/>
        <w:tab w:val="right" w:pos="9486"/>
      </w:tabs>
      <w:jc w:val="center"/>
      <w:rPr>
        <w:b/>
        <w:sz w:val="20"/>
      </w:rPr>
    </w:pPr>
    <w:r>
      <w:rPr>
        <w:b/>
        <w:sz w:val="20"/>
      </w:rPr>
      <w:t>Cantieri Culturali alla Zisa</w:t>
    </w:r>
    <w:r w:rsidR="006D585D">
      <w:rPr>
        <w:b/>
        <w:sz w:val="20"/>
      </w:rPr>
      <w:t xml:space="preserve"> – Via </w:t>
    </w:r>
    <w:r>
      <w:rPr>
        <w:b/>
        <w:sz w:val="20"/>
      </w:rPr>
      <w:t xml:space="preserve">Paolo </w:t>
    </w:r>
    <w:proofErr w:type="spellStart"/>
    <w:r>
      <w:rPr>
        <w:b/>
        <w:sz w:val="20"/>
      </w:rPr>
      <w:t>Gili</w:t>
    </w:r>
    <w:proofErr w:type="spellEnd"/>
    <w:r w:rsidR="006D585D">
      <w:rPr>
        <w:b/>
        <w:sz w:val="20"/>
      </w:rPr>
      <w:t xml:space="preserve">, </w:t>
    </w:r>
    <w:r>
      <w:rPr>
        <w:b/>
        <w:sz w:val="20"/>
      </w:rPr>
      <w:t>4</w:t>
    </w:r>
    <w:r w:rsidR="006D585D">
      <w:rPr>
        <w:b/>
        <w:sz w:val="20"/>
      </w:rPr>
      <w:t xml:space="preserve"> – 901</w:t>
    </w:r>
    <w:r w:rsidR="0087703E">
      <w:rPr>
        <w:b/>
        <w:sz w:val="20"/>
      </w:rPr>
      <w:t>38</w:t>
    </w:r>
    <w:r w:rsidR="006D585D">
      <w:rPr>
        <w:b/>
        <w:sz w:val="20"/>
      </w:rPr>
      <w:t xml:space="preserve"> Palermo</w:t>
    </w:r>
  </w:p>
  <w:p w:rsidR="006C3C01" w:rsidRPr="00E14B73" w:rsidRDefault="008A5E46">
    <w:pPr>
      <w:pStyle w:val="Heading"/>
      <w:tabs>
        <w:tab w:val="left" w:pos="1305"/>
        <w:tab w:val="right" w:pos="9486"/>
      </w:tabs>
      <w:jc w:val="center"/>
      <w:rPr>
        <w:b/>
        <w:sz w:val="20"/>
        <w:lang w:val="en-US"/>
      </w:rPr>
    </w:pPr>
    <w:r>
      <w:rPr>
        <w:b/>
        <w:sz w:val="20"/>
        <w:lang w:val="en-US"/>
      </w:rPr>
      <w:t>Tel. 091-7407792/7408463</w:t>
    </w:r>
    <w:r w:rsidR="006D585D" w:rsidRPr="00E14B73">
      <w:rPr>
        <w:b/>
        <w:sz w:val="20"/>
        <w:lang w:val="en-US"/>
      </w:rPr>
      <w:t xml:space="preserve"> – Fax091</w:t>
    </w:r>
    <w:r w:rsidR="00E14B73">
      <w:rPr>
        <w:b/>
        <w:sz w:val="20"/>
        <w:lang w:val="en-US"/>
      </w:rPr>
      <w:t>6520814</w:t>
    </w:r>
  </w:p>
  <w:p w:rsidR="006C3C01" w:rsidRPr="00554EBD" w:rsidRDefault="008A5E46">
    <w:pPr>
      <w:pStyle w:val="Heading"/>
      <w:tabs>
        <w:tab w:val="left" w:pos="1305"/>
        <w:tab w:val="right" w:pos="9486"/>
      </w:tabs>
      <w:jc w:val="center"/>
      <w:rPr>
        <w:b/>
        <w:sz w:val="16"/>
        <w:szCs w:val="20"/>
      </w:rPr>
    </w:pPr>
    <w:r w:rsidRPr="00554EBD">
      <w:rPr>
        <w:b/>
        <w:sz w:val="16"/>
        <w:szCs w:val="20"/>
      </w:rPr>
      <w:t xml:space="preserve">e-mail: </w:t>
    </w:r>
    <w:hyperlink r:id="rId3" w:history="1">
      <w:r w:rsidRPr="00554EBD">
        <w:rPr>
          <w:rStyle w:val="Collegamentoipertestuale"/>
          <w:b/>
          <w:sz w:val="16"/>
          <w:szCs w:val="20"/>
        </w:rPr>
        <w:t>cultura@comune.palermo.it</w:t>
      </w:r>
    </w:hyperlink>
  </w:p>
  <w:p w:rsidR="008A5E46" w:rsidRDefault="008A5E46">
    <w:pPr>
      <w:pStyle w:val="Heading"/>
      <w:tabs>
        <w:tab w:val="left" w:pos="1305"/>
        <w:tab w:val="right" w:pos="9486"/>
      </w:tabs>
      <w:jc w:val="center"/>
      <w:rPr>
        <w:b/>
        <w:sz w:val="16"/>
        <w:szCs w:val="20"/>
        <w:lang w:val="en-US"/>
      </w:rPr>
    </w:pPr>
    <w:r>
      <w:rPr>
        <w:b/>
        <w:sz w:val="16"/>
        <w:szCs w:val="20"/>
        <w:lang w:val="en-US"/>
      </w:rPr>
      <w:t xml:space="preserve">pec: </w:t>
    </w:r>
    <w:hyperlink r:id="rId4" w:history="1">
      <w:r w:rsidRPr="000A0B17">
        <w:rPr>
          <w:rStyle w:val="Collegamentoipertestuale"/>
          <w:b/>
          <w:sz w:val="16"/>
          <w:szCs w:val="20"/>
          <w:lang w:val="en-US"/>
        </w:rPr>
        <w:t>settorecultura@cert.comune.palermo.it</w:t>
      </w:r>
    </w:hyperlink>
  </w:p>
  <w:p w:rsidR="008A5E46" w:rsidRDefault="008A5E46">
    <w:pPr>
      <w:pStyle w:val="Heading"/>
      <w:tabs>
        <w:tab w:val="left" w:pos="1305"/>
        <w:tab w:val="right" w:pos="9486"/>
      </w:tabs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73" w:rsidRDefault="00E14B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981"/>
    <w:multiLevelType w:val="hybridMultilevel"/>
    <w:tmpl w:val="0AE8AFC6"/>
    <w:lvl w:ilvl="0" w:tplc="6BB0B1B0">
      <w:numFmt w:val="bullet"/>
      <w:lvlText w:val="-"/>
      <w:lvlJc w:val="left"/>
      <w:pPr>
        <w:ind w:left="46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" w15:restartNumberingAfterBreak="0">
    <w:nsid w:val="0398164C"/>
    <w:multiLevelType w:val="hybridMultilevel"/>
    <w:tmpl w:val="30F6CCFA"/>
    <w:lvl w:ilvl="0" w:tplc="6BB0B1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E76A0"/>
    <w:multiLevelType w:val="hybridMultilevel"/>
    <w:tmpl w:val="6E0EAAA8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6962768"/>
    <w:multiLevelType w:val="hybridMultilevel"/>
    <w:tmpl w:val="06B49E74"/>
    <w:lvl w:ilvl="0" w:tplc="6BB0B1B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EC42F6"/>
    <w:multiLevelType w:val="hybridMultilevel"/>
    <w:tmpl w:val="3E46851C"/>
    <w:lvl w:ilvl="0" w:tplc="6BB0B1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BA16A1B"/>
    <w:multiLevelType w:val="multilevel"/>
    <w:tmpl w:val="9BE40A2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9F74F6F"/>
    <w:multiLevelType w:val="hybridMultilevel"/>
    <w:tmpl w:val="10EEF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1"/>
    <w:rsid w:val="0000040A"/>
    <w:rsid w:val="000E3BB5"/>
    <w:rsid w:val="00104E52"/>
    <w:rsid w:val="00134D87"/>
    <w:rsid w:val="001368CA"/>
    <w:rsid w:val="00164AF0"/>
    <w:rsid w:val="00167075"/>
    <w:rsid w:val="00167215"/>
    <w:rsid w:val="00181201"/>
    <w:rsid w:val="0018131B"/>
    <w:rsid w:val="001F44D3"/>
    <w:rsid w:val="00212DEB"/>
    <w:rsid w:val="00237F37"/>
    <w:rsid w:val="002405F3"/>
    <w:rsid w:val="0024089A"/>
    <w:rsid w:val="00284A56"/>
    <w:rsid w:val="00316AED"/>
    <w:rsid w:val="00340FAA"/>
    <w:rsid w:val="003E112F"/>
    <w:rsid w:val="00467B2A"/>
    <w:rsid w:val="00484379"/>
    <w:rsid w:val="004F5E40"/>
    <w:rsid w:val="00534B43"/>
    <w:rsid w:val="00554EBD"/>
    <w:rsid w:val="005A2751"/>
    <w:rsid w:val="005C56A1"/>
    <w:rsid w:val="005D6229"/>
    <w:rsid w:val="005E1001"/>
    <w:rsid w:val="006A0659"/>
    <w:rsid w:val="006B16C2"/>
    <w:rsid w:val="006C3C01"/>
    <w:rsid w:val="006C7D55"/>
    <w:rsid w:val="006D585D"/>
    <w:rsid w:val="006E4530"/>
    <w:rsid w:val="008035E0"/>
    <w:rsid w:val="00824A80"/>
    <w:rsid w:val="0087703E"/>
    <w:rsid w:val="008A5E46"/>
    <w:rsid w:val="008A7617"/>
    <w:rsid w:val="008F7244"/>
    <w:rsid w:val="009240FD"/>
    <w:rsid w:val="00963D8C"/>
    <w:rsid w:val="00964F38"/>
    <w:rsid w:val="009712EB"/>
    <w:rsid w:val="00973E0A"/>
    <w:rsid w:val="0098498A"/>
    <w:rsid w:val="009A4922"/>
    <w:rsid w:val="00A26F31"/>
    <w:rsid w:val="00AA0B89"/>
    <w:rsid w:val="00AD6FE2"/>
    <w:rsid w:val="00B72BDD"/>
    <w:rsid w:val="00B83536"/>
    <w:rsid w:val="00B855A0"/>
    <w:rsid w:val="00BD0835"/>
    <w:rsid w:val="00BD6F2C"/>
    <w:rsid w:val="00C44025"/>
    <w:rsid w:val="00C46922"/>
    <w:rsid w:val="00CB0288"/>
    <w:rsid w:val="00CC6211"/>
    <w:rsid w:val="00DC1C39"/>
    <w:rsid w:val="00DC63EF"/>
    <w:rsid w:val="00DD1C79"/>
    <w:rsid w:val="00DE5CD4"/>
    <w:rsid w:val="00E14B73"/>
    <w:rsid w:val="00E3726D"/>
    <w:rsid w:val="00EC1C45"/>
    <w:rsid w:val="00EE7C8A"/>
    <w:rsid w:val="00F13DDD"/>
    <w:rsid w:val="00F35426"/>
    <w:rsid w:val="00F37C31"/>
    <w:rsid w:val="00F44462"/>
    <w:rsid w:val="00F609BF"/>
    <w:rsid w:val="00F70972"/>
    <w:rsid w:val="00FA180B"/>
    <w:rsid w:val="00FB3EE0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E5838-086F-4D2A-A2D8-E6DEFD9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8Num1">
    <w:name w:val="WW8Num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.palerm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omune.palerm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ttorecultura@cert.comune.palerm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15741\Downloads\DISPOSIZONE%20DI%20SERVI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DISPOSIZONE DI SERVIZIO</Template>
  <TotalTime>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Gianfranco Pupillo</dc:creator>
  <cp:keywords/>
  <cp:lastModifiedBy>Gaspare Simeti</cp:lastModifiedBy>
  <cp:revision>2</cp:revision>
  <cp:lastPrinted>2020-01-08T08:18:00Z</cp:lastPrinted>
  <dcterms:created xsi:type="dcterms:W3CDTF">2022-01-20T13:13:00Z</dcterms:created>
  <dcterms:modified xsi:type="dcterms:W3CDTF">2022-01-20T13:13:00Z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