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C5BA47" w14:textId="7ACB1A12" w:rsidR="00313212" w:rsidRPr="00313212" w:rsidRDefault="00313212" w:rsidP="00313212">
      <w:pPr>
        <w:shd w:val="clear" w:color="auto" w:fill="FFFFFF"/>
        <w:spacing w:after="120" w:line="240" w:lineRule="auto"/>
        <w:jc w:val="center"/>
        <w:outlineLvl w:val="0"/>
        <w:rPr>
          <w:rFonts w:ascii="Titillium Web" w:eastAsia="Times New Roman" w:hAnsi="Titillium Web" w:cs="Times New Roman"/>
          <w:b/>
          <w:bCs/>
          <w:color w:val="191919"/>
          <w:spacing w:val="-18"/>
          <w:kern w:val="36"/>
          <w:sz w:val="72"/>
          <w:szCs w:val="72"/>
          <w:lang w:eastAsia="it-IT"/>
          <w14:ligatures w14:val="none"/>
        </w:rPr>
      </w:pPr>
      <w:r w:rsidRPr="00313212">
        <w:rPr>
          <w:rFonts w:ascii="Titillium Web" w:eastAsia="Times New Roman" w:hAnsi="Titillium Web" w:cs="Times New Roman"/>
          <w:b/>
          <w:bCs/>
          <w:color w:val="191919"/>
          <w:spacing w:val="-18"/>
          <w:kern w:val="36"/>
          <w:sz w:val="72"/>
          <w:szCs w:val="72"/>
          <w:lang w:eastAsia="it-IT"/>
          <w14:ligatures w14:val="none"/>
        </w:rPr>
        <w:t>AVVISO</w:t>
      </w:r>
    </w:p>
    <w:p w14:paraId="1CD324D1" w14:textId="77777777" w:rsidR="00313212" w:rsidRDefault="00313212" w:rsidP="00BE0AED">
      <w:pPr>
        <w:shd w:val="clear" w:color="auto" w:fill="FFFFFF"/>
        <w:spacing w:after="120" w:line="240" w:lineRule="auto"/>
        <w:outlineLvl w:val="0"/>
        <w:rPr>
          <w:rFonts w:ascii="Titillium Web" w:eastAsia="Times New Roman" w:hAnsi="Titillium Web" w:cs="Times New Roman"/>
          <w:b/>
          <w:bCs/>
          <w:color w:val="191919"/>
          <w:spacing w:val="-18"/>
          <w:kern w:val="36"/>
          <w:sz w:val="48"/>
          <w:szCs w:val="48"/>
          <w:lang w:eastAsia="it-IT"/>
          <w14:ligatures w14:val="none"/>
        </w:rPr>
      </w:pPr>
    </w:p>
    <w:p w14:paraId="57BADAC5" w14:textId="751324C5" w:rsidR="00BE0AED" w:rsidRDefault="00BE0AED" w:rsidP="00BE0AED">
      <w:pPr>
        <w:shd w:val="clear" w:color="auto" w:fill="FFFFFF"/>
        <w:spacing w:after="120" w:line="240" w:lineRule="auto"/>
        <w:outlineLvl w:val="0"/>
        <w:rPr>
          <w:rFonts w:ascii="Titillium Web" w:eastAsia="Times New Roman" w:hAnsi="Titillium Web" w:cs="Times New Roman"/>
          <w:b/>
          <w:bCs/>
          <w:color w:val="191919"/>
          <w:spacing w:val="-18"/>
          <w:kern w:val="36"/>
          <w:sz w:val="48"/>
          <w:szCs w:val="48"/>
          <w:lang w:eastAsia="it-IT"/>
          <w14:ligatures w14:val="none"/>
        </w:rPr>
      </w:pPr>
      <w:r w:rsidRPr="00BE0AED">
        <w:rPr>
          <w:rFonts w:ascii="Titillium Web" w:eastAsia="Times New Roman" w:hAnsi="Titillium Web" w:cs="Times New Roman"/>
          <w:b/>
          <w:bCs/>
          <w:color w:val="191919"/>
          <w:spacing w:val="-18"/>
          <w:kern w:val="36"/>
          <w:sz w:val="48"/>
          <w:szCs w:val="48"/>
          <w:lang w:eastAsia="it-IT"/>
          <w14:ligatures w14:val="none"/>
        </w:rPr>
        <w:t>Rilascio Tesserino Venatorio stagione 202</w:t>
      </w:r>
      <w:r w:rsidR="002B04DA">
        <w:rPr>
          <w:rFonts w:ascii="Titillium Web" w:eastAsia="Times New Roman" w:hAnsi="Titillium Web" w:cs="Times New Roman"/>
          <w:b/>
          <w:bCs/>
          <w:color w:val="191919"/>
          <w:spacing w:val="-18"/>
          <w:kern w:val="36"/>
          <w:sz w:val="48"/>
          <w:szCs w:val="48"/>
          <w:lang w:eastAsia="it-IT"/>
          <w14:ligatures w14:val="none"/>
        </w:rPr>
        <w:t>6</w:t>
      </w:r>
      <w:r w:rsidRPr="00BE0AED">
        <w:rPr>
          <w:rFonts w:ascii="Titillium Web" w:eastAsia="Times New Roman" w:hAnsi="Titillium Web" w:cs="Times New Roman"/>
          <w:b/>
          <w:bCs/>
          <w:color w:val="191919"/>
          <w:spacing w:val="-18"/>
          <w:kern w:val="36"/>
          <w:sz w:val="48"/>
          <w:szCs w:val="48"/>
          <w:lang w:eastAsia="it-IT"/>
          <w14:ligatures w14:val="none"/>
        </w:rPr>
        <w:t>/202</w:t>
      </w:r>
      <w:r w:rsidR="002B04DA">
        <w:rPr>
          <w:rFonts w:ascii="Titillium Web" w:eastAsia="Times New Roman" w:hAnsi="Titillium Web" w:cs="Times New Roman"/>
          <w:b/>
          <w:bCs/>
          <w:color w:val="191919"/>
          <w:spacing w:val="-18"/>
          <w:kern w:val="36"/>
          <w:sz w:val="48"/>
          <w:szCs w:val="48"/>
          <w:lang w:eastAsia="it-IT"/>
          <w14:ligatures w14:val="none"/>
        </w:rPr>
        <w:t>7</w:t>
      </w:r>
    </w:p>
    <w:p w14:paraId="133EB8A2" w14:textId="2D20742C" w:rsidR="00BE0AED" w:rsidRDefault="00BE0AED" w:rsidP="00BE0AED">
      <w:pPr>
        <w:shd w:val="clear" w:color="auto" w:fill="FFFFFF"/>
        <w:spacing w:after="120" w:line="240" w:lineRule="auto"/>
        <w:outlineLvl w:val="0"/>
        <w:rPr>
          <w:rFonts w:ascii="Titillium Web" w:hAnsi="Titillium Web"/>
          <w:color w:val="191919"/>
          <w:sz w:val="27"/>
          <w:szCs w:val="27"/>
          <w:shd w:val="clear" w:color="auto" w:fill="FFFFFF"/>
        </w:rPr>
      </w:pPr>
      <w:r>
        <w:rPr>
          <w:rFonts w:ascii="Titillium Web" w:hAnsi="Titillium Web"/>
          <w:color w:val="191919"/>
          <w:sz w:val="27"/>
          <w:szCs w:val="27"/>
          <w:shd w:val="clear" w:color="auto" w:fill="FFFFFF"/>
        </w:rPr>
        <w:t xml:space="preserve">Si comunica che a far data dal </w:t>
      </w:r>
      <w:r w:rsidR="00C95029">
        <w:rPr>
          <w:rFonts w:ascii="Titillium Web" w:hAnsi="Titillium Web"/>
          <w:b/>
          <w:bCs/>
          <w:color w:val="191919"/>
          <w:sz w:val="27"/>
          <w:szCs w:val="27"/>
          <w:shd w:val="clear" w:color="auto" w:fill="FFFFFF"/>
        </w:rPr>
        <w:t>20/08/2026</w:t>
      </w:r>
      <w:r>
        <w:rPr>
          <w:rFonts w:ascii="Titillium Web" w:hAnsi="Titillium Web"/>
          <w:color w:val="191919"/>
          <w:sz w:val="27"/>
          <w:szCs w:val="27"/>
          <w:shd w:val="clear" w:color="auto" w:fill="FFFFFF"/>
        </w:rPr>
        <w:t> presso le otto Circoscrizioni saranno in distribuzione per gli aventi diritto i Tesserini Venatori per la stagione 202</w:t>
      </w:r>
      <w:r w:rsidR="002B04DA">
        <w:rPr>
          <w:rFonts w:ascii="Titillium Web" w:hAnsi="Titillium Web"/>
          <w:color w:val="191919"/>
          <w:sz w:val="27"/>
          <w:szCs w:val="27"/>
          <w:shd w:val="clear" w:color="auto" w:fill="FFFFFF"/>
        </w:rPr>
        <w:t>6</w:t>
      </w:r>
      <w:r>
        <w:rPr>
          <w:rFonts w:ascii="Titillium Web" w:hAnsi="Titillium Web"/>
          <w:color w:val="191919"/>
          <w:sz w:val="27"/>
          <w:szCs w:val="27"/>
          <w:shd w:val="clear" w:color="auto" w:fill="FFFFFF"/>
        </w:rPr>
        <w:t>/202</w:t>
      </w:r>
      <w:r w:rsidR="002B04DA">
        <w:rPr>
          <w:rFonts w:ascii="Titillium Web" w:hAnsi="Titillium Web"/>
          <w:color w:val="191919"/>
          <w:sz w:val="27"/>
          <w:szCs w:val="27"/>
          <w:shd w:val="clear" w:color="auto" w:fill="FFFFFF"/>
        </w:rPr>
        <w:t>7</w:t>
      </w:r>
      <w:r>
        <w:rPr>
          <w:rFonts w:ascii="Titillium Web" w:hAnsi="Titillium Web"/>
          <w:color w:val="191919"/>
          <w:sz w:val="27"/>
          <w:szCs w:val="27"/>
          <w:shd w:val="clear" w:color="auto" w:fill="FFFFFF"/>
        </w:rPr>
        <w:t>. </w:t>
      </w:r>
    </w:p>
    <w:p w14:paraId="6A5043D4" w14:textId="77777777" w:rsidR="00BE0AED" w:rsidRPr="00BE0AED" w:rsidRDefault="00BE0AED" w:rsidP="00BE0AED">
      <w:pPr>
        <w:spacing w:after="120" w:line="240" w:lineRule="auto"/>
        <w:outlineLvl w:val="3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it-IT"/>
          <w14:ligatures w14:val="none"/>
        </w:rPr>
      </w:pPr>
      <w:r w:rsidRPr="00BE0AED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it-IT"/>
          <w14:ligatures w14:val="none"/>
        </w:rPr>
        <w:t>Descrizione</w:t>
      </w:r>
    </w:p>
    <w:p w14:paraId="244719AC" w14:textId="4803CD44" w:rsidR="00BE0AED" w:rsidRPr="00BE0AED" w:rsidRDefault="00BE0AED" w:rsidP="00BE0AED">
      <w:pPr>
        <w:spacing w:after="100" w:afterAutospacing="1" w:line="240" w:lineRule="auto"/>
        <w:rPr>
          <w:rFonts w:ascii="Lora" w:eastAsia="Times New Roman" w:hAnsi="Lora" w:cs="Times New Roman"/>
          <w:kern w:val="0"/>
          <w:sz w:val="24"/>
          <w:szCs w:val="24"/>
          <w:lang w:eastAsia="it-IT"/>
          <w14:ligatures w14:val="none"/>
        </w:rPr>
      </w:pPr>
      <w:r w:rsidRPr="00BE0AED">
        <w:rPr>
          <w:rFonts w:ascii="Lora" w:eastAsia="Times New Roman" w:hAnsi="Lora" w:cs="Times New Roman"/>
          <w:kern w:val="0"/>
          <w:sz w:val="24"/>
          <w:szCs w:val="24"/>
          <w:lang w:eastAsia="it-IT"/>
          <w14:ligatures w14:val="none"/>
        </w:rPr>
        <w:t>Si comunica che a far data </w:t>
      </w:r>
      <w:r w:rsidR="00C95029">
        <w:rPr>
          <w:rFonts w:ascii="Lora" w:eastAsia="Times New Roman" w:hAnsi="Lora" w:cs="Times New Roman"/>
          <w:b/>
          <w:bCs/>
          <w:kern w:val="0"/>
          <w:sz w:val="24"/>
          <w:szCs w:val="24"/>
          <w:lang w:eastAsia="it-IT"/>
          <w14:ligatures w14:val="none"/>
        </w:rPr>
        <w:t>20/08/2026</w:t>
      </w:r>
      <w:r w:rsidRPr="00BE0AED">
        <w:rPr>
          <w:rFonts w:ascii="Lora" w:eastAsia="Times New Roman" w:hAnsi="Lora" w:cs="Times New Roman"/>
          <w:kern w:val="0"/>
          <w:sz w:val="24"/>
          <w:szCs w:val="24"/>
          <w:lang w:eastAsia="it-IT"/>
          <w14:ligatures w14:val="none"/>
        </w:rPr>
        <w:t> presso le otto Circoscrizioni saranno in distribuzione per gli aventi diritto i Tesserini Venatori per la stagione 202</w:t>
      </w:r>
      <w:r w:rsidR="002B04DA">
        <w:rPr>
          <w:rFonts w:ascii="Lora" w:eastAsia="Times New Roman" w:hAnsi="Lora" w:cs="Times New Roman"/>
          <w:kern w:val="0"/>
          <w:sz w:val="24"/>
          <w:szCs w:val="24"/>
          <w:lang w:eastAsia="it-IT"/>
          <w14:ligatures w14:val="none"/>
        </w:rPr>
        <w:t>6</w:t>
      </w:r>
      <w:r w:rsidRPr="00BE0AED">
        <w:rPr>
          <w:rFonts w:ascii="Lora" w:eastAsia="Times New Roman" w:hAnsi="Lora" w:cs="Times New Roman"/>
          <w:kern w:val="0"/>
          <w:sz w:val="24"/>
          <w:szCs w:val="24"/>
          <w:lang w:eastAsia="it-IT"/>
          <w14:ligatures w14:val="none"/>
        </w:rPr>
        <w:t>/202</w:t>
      </w:r>
      <w:r w:rsidR="002B04DA">
        <w:rPr>
          <w:rFonts w:ascii="Lora" w:eastAsia="Times New Roman" w:hAnsi="Lora" w:cs="Times New Roman"/>
          <w:kern w:val="0"/>
          <w:sz w:val="24"/>
          <w:szCs w:val="24"/>
          <w:lang w:eastAsia="it-IT"/>
          <w14:ligatures w14:val="none"/>
        </w:rPr>
        <w:t>7</w:t>
      </w:r>
      <w:r w:rsidRPr="00BE0AED">
        <w:rPr>
          <w:rFonts w:ascii="Lora" w:eastAsia="Times New Roman" w:hAnsi="Lora" w:cs="Times New Roman"/>
          <w:kern w:val="0"/>
          <w:sz w:val="24"/>
          <w:szCs w:val="24"/>
          <w:lang w:eastAsia="it-IT"/>
          <w14:ligatures w14:val="none"/>
        </w:rPr>
        <w:t>. </w:t>
      </w:r>
    </w:p>
    <w:p w14:paraId="56B0A669" w14:textId="77777777" w:rsidR="00BE0AED" w:rsidRPr="00BE0AED" w:rsidRDefault="00BE0AED" w:rsidP="00BE0AED">
      <w:pPr>
        <w:spacing w:after="100" w:afterAutospacing="1" w:line="240" w:lineRule="auto"/>
        <w:rPr>
          <w:rFonts w:ascii="Lora" w:eastAsia="Times New Roman" w:hAnsi="Lora" w:cs="Times New Roman"/>
          <w:kern w:val="0"/>
          <w:sz w:val="24"/>
          <w:szCs w:val="24"/>
          <w:lang w:eastAsia="it-IT"/>
          <w14:ligatures w14:val="none"/>
        </w:rPr>
      </w:pPr>
      <w:r w:rsidRPr="00BE0AED">
        <w:rPr>
          <w:rFonts w:ascii="Lora" w:eastAsia="Times New Roman" w:hAnsi="Lora" w:cs="Times New Roman"/>
          <w:kern w:val="0"/>
          <w:sz w:val="24"/>
          <w:szCs w:val="24"/>
          <w:lang w:eastAsia="it-IT"/>
          <w14:ligatures w14:val="none"/>
        </w:rPr>
        <w:t>Gli utenti dovranno recarsi per il rilascio del Tesserino venatorio, presso lo Sportello Polifunzionale della Circoscrizione, nella quale </w:t>
      </w:r>
      <w:r w:rsidRPr="00BE0AED">
        <w:rPr>
          <w:rFonts w:ascii="Lora" w:eastAsia="Times New Roman" w:hAnsi="Lora" w:cs="Times New Roman"/>
          <w:b/>
          <w:bCs/>
          <w:kern w:val="0"/>
          <w:sz w:val="24"/>
          <w:szCs w:val="24"/>
          <w:lang w:eastAsia="it-IT"/>
          <w14:ligatures w14:val="none"/>
        </w:rPr>
        <w:t>risultano anagraficamente residenti</w:t>
      </w:r>
      <w:r w:rsidRPr="00BE0AED">
        <w:rPr>
          <w:rFonts w:ascii="Lora" w:eastAsia="Times New Roman" w:hAnsi="Lora" w:cs="Times New Roman"/>
          <w:kern w:val="0"/>
          <w:sz w:val="24"/>
          <w:szCs w:val="24"/>
          <w:lang w:eastAsia="it-IT"/>
          <w14:ligatures w14:val="none"/>
        </w:rPr>
        <w:t>.</w:t>
      </w:r>
    </w:p>
    <w:p w14:paraId="51ECFC8F" w14:textId="27C7CC92" w:rsidR="00BE0AED" w:rsidRPr="00BE0AED" w:rsidRDefault="00BE0AED" w:rsidP="00BE0AED">
      <w:pPr>
        <w:spacing w:after="100" w:afterAutospacing="1" w:line="240" w:lineRule="auto"/>
        <w:rPr>
          <w:rFonts w:ascii="Lora" w:eastAsia="Times New Roman" w:hAnsi="Lora" w:cs="Times New Roman"/>
          <w:kern w:val="0"/>
          <w:sz w:val="24"/>
          <w:szCs w:val="24"/>
          <w:lang w:eastAsia="it-IT"/>
          <w14:ligatures w14:val="none"/>
        </w:rPr>
      </w:pPr>
      <w:r w:rsidRPr="00BE0AED">
        <w:rPr>
          <w:rFonts w:ascii="Lora" w:eastAsia="Times New Roman" w:hAnsi="Lora" w:cs="Times New Roman"/>
          <w:b/>
          <w:bCs/>
          <w:kern w:val="0"/>
          <w:sz w:val="24"/>
          <w:szCs w:val="24"/>
          <w:lang w:eastAsia="it-IT"/>
          <w14:ligatures w14:val="none"/>
        </w:rPr>
        <w:t>I giorni di ricevimento per il rilascio dei tesserini venatori anno 202</w:t>
      </w:r>
      <w:r w:rsidR="002B04DA">
        <w:rPr>
          <w:rFonts w:ascii="Lora" w:eastAsia="Times New Roman" w:hAnsi="Lora" w:cs="Times New Roman"/>
          <w:b/>
          <w:bCs/>
          <w:kern w:val="0"/>
          <w:sz w:val="24"/>
          <w:szCs w:val="24"/>
          <w:lang w:eastAsia="it-IT"/>
          <w14:ligatures w14:val="none"/>
        </w:rPr>
        <w:t>6</w:t>
      </w:r>
      <w:r w:rsidRPr="00BE0AED">
        <w:rPr>
          <w:rFonts w:ascii="Lora" w:eastAsia="Times New Roman" w:hAnsi="Lora" w:cs="Times New Roman"/>
          <w:b/>
          <w:bCs/>
          <w:kern w:val="0"/>
          <w:sz w:val="24"/>
          <w:szCs w:val="24"/>
          <w:lang w:eastAsia="it-IT"/>
          <w14:ligatures w14:val="none"/>
        </w:rPr>
        <w:t>/202</w:t>
      </w:r>
      <w:r w:rsidR="002B04DA">
        <w:rPr>
          <w:rFonts w:ascii="Lora" w:eastAsia="Times New Roman" w:hAnsi="Lora" w:cs="Times New Roman"/>
          <w:b/>
          <w:bCs/>
          <w:kern w:val="0"/>
          <w:sz w:val="24"/>
          <w:szCs w:val="24"/>
          <w:lang w:eastAsia="it-IT"/>
          <w14:ligatures w14:val="none"/>
        </w:rPr>
        <w:t>7</w:t>
      </w:r>
      <w:r w:rsidRPr="00BE0AED">
        <w:rPr>
          <w:rFonts w:ascii="Lora" w:eastAsia="Times New Roman" w:hAnsi="Lora" w:cs="Times New Roman"/>
          <w:b/>
          <w:bCs/>
          <w:kern w:val="0"/>
          <w:sz w:val="24"/>
          <w:szCs w:val="24"/>
          <w:lang w:eastAsia="it-IT"/>
          <w14:ligatures w14:val="none"/>
        </w:rPr>
        <w:t xml:space="preserve"> saranno:</w:t>
      </w:r>
    </w:p>
    <w:p w14:paraId="0BA1E1CE" w14:textId="12323DC2" w:rsidR="00BE0AED" w:rsidRPr="00BE0AED" w:rsidRDefault="00BE0AED" w:rsidP="00BE0AED">
      <w:pPr>
        <w:spacing w:after="100" w:afterAutospacing="1" w:line="240" w:lineRule="auto"/>
        <w:rPr>
          <w:rFonts w:ascii="Lora" w:eastAsia="Times New Roman" w:hAnsi="Lora" w:cs="Times New Roman"/>
          <w:kern w:val="0"/>
          <w:sz w:val="24"/>
          <w:szCs w:val="24"/>
          <w:lang w:eastAsia="it-IT"/>
          <w14:ligatures w14:val="none"/>
        </w:rPr>
      </w:pPr>
      <w:r w:rsidRPr="00BE0AED">
        <w:rPr>
          <w:rFonts w:ascii="Lora" w:eastAsia="Times New Roman" w:hAnsi="Lora" w:cs="Times New Roman"/>
          <w:b/>
          <w:bCs/>
          <w:kern w:val="0"/>
          <w:sz w:val="24"/>
          <w:szCs w:val="24"/>
          <w:lang w:eastAsia="it-IT"/>
          <w14:ligatures w14:val="none"/>
        </w:rPr>
        <w:t xml:space="preserve">Da </w:t>
      </w:r>
      <w:r w:rsidR="00313212" w:rsidRPr="00BE0AED">
        <w:rPr>
          <w:rFonts w:ascii="Lora" w:eastAsia="Times New Roman" w:hAnsi="Lora" w:cs="Times New Roman"/>
          <w:b/>
          <w:bCs/>
          <w:kern w:val="0"/>
          <w:sz w:val="24"/>
          <w:szCs w:val="24"/>
          <w:lang w:eastAsia="it-IT"/>
          <w14:ligatures w14:val="none"/>
        </w:rPr>
        <w:t>lunedì</w:t>
      </w:r>
      <w:r w:rsidRPr="00BE0AED">
        <w:rPr>
          <w:rFonts w:ascii="Lora" w:eastAsia="Times New Roman" w:hAnsi="Lora" w:cs="Times New Roman"/>
          <w:b/>
          <w:bCs/>
          <w:kern w:val="0"/>
          <w:sz w:val="24"/>
          <w:szCs w:val="24"/>
          <w:lang w:eastAsia="it-IT"/>
          <w14:ligatures w14:val="none"/>
        </w:rPr>
        <w:t xml:space="preserve"> al </w:t>
      </w:r>
      <w:r w:rsidR="00313212" w:rsidRPr="00BE0AED">
        <w:rPr>
          <w:rFonts w:ascii="Lora" w:eastAsia="Times New Roman" w:hAnsi="Lora" w:cs="Times New Roman"/>
          <w:b/>
          <w:bCs/>
          <w:kern w:val="0"/>
          <w:sz w:val="24"/>
          <w:szCs w:val="24"/>
          <w:lang w:eastAsia="it-IT"/>
          <w14:ligatures w14:val="none"/>
        </w:rPr>
        <w:t>venerdì</w:t>
      </w:r>
      <w:r w:rsidRPr="00BE0AED">
        <w:rPr>
          <w:rFonts w:ascii="Lora" w:eastAsia="Times New Roman" w:hAnsi="Lora" w:cs="Times New Roman"/>
          <w:b/>
          <w:bCs/>
          <w:kern w:val="0"/>
          <w:sz w:val="24"/>
          <w:szCs w:val="24"/>
          <w:lang w:eastAsia="it-IT"/>
          <w14:ligatures w14:val="none"/>
        </w:rPr>
        <w:t xml:space="preserve"> dalle ore </w:t>
      </w:r>
      <w:r>
        <w:rPr>
          <w:rFonts w:ascii="Lora" w:eastAsia="Times New Roman" w:hAnsi="Lora" w:cs="Times New Roman"/>
          <w:b/>
          <w:bCs/>
          <w:kern w:val="0"/>
          <w:sz w:val="24"/>
          <w:szCs w:val="24"/>
          <w:lang w:eastAsia="it-IT"/>
          <w14:ligatures w14:val="none"/>
        </w:rPr>
        <w:t>08</w:t>
      </w:r>
      <w:r w:rsidRPr="00BE0AED">
        <w:rPr>
          <w:rFonts w:ascii="Lora" w:eastAsia="Times New Roman" w:hAnsi="Lora" w:cs="Times New Roman"/>
          <w:b/>
          <w:bCs/>
          <w:kern w:val="0"/>
          <w:sz w:val="24"/>
          <w:szCs w:val="24"/>
          <w:lang w:eastAsia="it-IT"/>
          <w14:ligatures w14:val="none"/>
        </w:rPr>
        <w:t>:</w:t>
      </w:r>
      <w:r>
        <w:rPr>
          <w:rFonts w:ascii="Lora" w:eastAsia="Times New Roman" w:hAnsi="Lora" w:cs="Times New Roman"/>
          <w:b/>
          <w:bCs/>
          <w:kern w:val="0"/>
          <w:sz w:val="24"/>
          <w:szCs w:val="24"/>
          <w:lang w:eastAsia="it-IT"/>
          <w14:ligatures w14:val="none"/>
        </w:rPr>
        <w:t>3</w:t>
      </w:r>
      <w:r w:rsidRPr="00BE0AED">
        <w:rPr>
          <w:rFonts w:ascii="Lora" w:eastAsia="Times New Roman" w:hAnsi="Lora" w:cs="Times New Roman"/>
          <w:b/>
          <w:bCs/>
          <w:kern w:val="0"/>
          <w:sz w:val="24"/>
          <w:szCs w:val="24"/>
          <w:lang w:eastAsia="it-IT"/>
          <w14:ligatures w14:val="none"/>
        </w:rPr>
        <w:t>0 alle ore 13:</w:t>
      </w:r>
      <w:r w:rsidR="00EA1EC9">
        <w:rPr>
          <w:rFonts w:ascii="Lora" w:eastAsia="Times New Roman" w:hAnsi="Lora" w:cs="Times New Roman"/>
          <w:b/>
          <w:bCs/>
          <w:kern w:val="0"/>
          <w:sz w:val="24"/>
          <w:szCs w:val="24"/>
          <w:lang w:eastAsia="it-IT"/>
          <w14:ligatures w14:val="none"/>
        </w:rPr>
        <w:t>0</w:t>
      </w:r>
      <w:r w:rsidRPr="00BE0AED">
        <w:rPr>
          <w:rFonts w:ascii="Lora" w:eastAsia="Times New Roman" w:hAnsi="Lora" w:cs="Times New Roman"/>
          <w:b/>
          <w:bCs/>
          <w:kern w:val="0"/>
          <w:sz w:val="24"/>
          <w:szCs w:val="24"/>
          <w:lang w:eastAsia="it-IT"/>
          <w14:ligatures w14:val="none"/>
        </w:rPr>
        <w:t>0 </w:t>
      </w:r>
      <w:r w:rsidR="007364E8">
        <w:rPr>
          <w:rFonts w:ascii="Lora" w:eastAsia="Times New Roman" w:hAnsi="Lora" w:cs="Times New Roman"/>
          <w:b/>
          <w:bCs/>
          <w:kern w:val="0"/>
          <w:sz w:val="24"/>
          <w:szCs w:val="24"/>
          <w:lang w:eastAsia="it-IT"/>
          <w14:ligatures w14:val="none"/>
        </w:rPr>
        <w:t>e mercoledì anche dalle ore 15:00 alle ore 17:</w:t>
      </w:r>
      <w:r w:rsidR="00EA1EC9">
        <w:rPr>
          <w:rFonts w:ascii="Lora" w:eastAsia="Times New Roman" w:hAnsi="Lora" w:cs="Times New Roman"/>
          <w:b/>
          <w:bCs/>
          <w:kern w:val="0"/>
          <w:sz w:val="24"/>
          <w:szCs w:val="24"/>
          <w:lang w:eastAsia="it-IT"/>
          <w14:ligatures w14:val="none"/>
        </w:rPr>
        <w:t>3</w:t>
      </w:r>
      <w:r w:rsidR="007364E8">
        <w:rPr>
          <w:rFonts w:ascii="Lora" w:eastAsia="Times New Roman" w:hAnsi="Lora" w:cs="Times New Roman"/>
          <w:b/>
          <w:bCs/>
          <w:kern w:val="0"/>
          <w:sz w:val="24"/>
          <w:szCs w:val="24"/>
          <w:lang w:eastAsia="it-IT"/>
          <w14:ligatures w14:val="none"/>
        </w:rPr>
        <w:t>0.</w:t>
      </w:r>
    </w:p>
    <w:p w14:paraId="5C6045DF" w14:textId="77777777" w:rsidR="00BE0AED" w:rsidRPr="00BE0AED" w:rsidRDefault="00BE0AED" w:rsidP="00BE0AED">
      <w:pPr>
        <w:spacing w:after="100" w:afterAutospacing="1" w:line="240" w:lineRule="auto"/>
        <w:rPr>
          <w:rFonts w:ascii="Lora" w:eastAsia="Times New Roman" w:hAnsi="Lora" w:cs="Times New Roman"/>
          <w:kern w:val="0"/>
          <w:sz w:val="24"/>
          <w:szCs w:val="24"/>
          <w:lang w:eastAsia="it-IT"/>
          <w14:ligatures w14:val="none"/>
        </w:rPr>
      </w:pPr>
      <w:r w:rsidRPr="00BE0AED">
        <w:rPr>
          <w:rFonts w:ascii="Lora" w:eastAsia="Times New Roman" w:hAnsi="Lora" w:cs="Times New Roman"/>
          <w:kern w:val="0"/>
          <w:sz w:val="24"/>
          <w:szCs w:val="24"/>
          <w:lang w:eastAsia="it-IT"/>
          <w14:ligatures w14:val="none"/>
        </w:rPr>
        <w:t>Ai sensi dell'art. 28 della Legge Regionale 22 Febbraio 2023 n. 2 i pagamenti delle Tasse sulle concessioni regionali dovranno essere effettuati secondo le modalità previste dall'art. 5, comma 2 del codice dell'amministrazione digitale di cui al decreto legislativo 7 marzo 2005 n. 82 e successive modifiche.</w:t>
      </w:r>
    </w:p>
    <w:p w14:paraId="74655207" w14:textId="77777777" w:rsidR="00BE0AED" w:rsidRPr="00BE0AED" w:rsidRDefault="00BE0AED" w:rsidP="00BE0AED">
      <w:pPr>
        <w:spacing w:after="100" w:afterAutospacing="1" w:line="240" w:lineRule="auto"/>
        <w:rPr>
          <w:rFonts w:ascii="Lora" w:eastAsia="Times New Roman" w:hAnsi="Lora" w:cs="Times New Roman"/>
          <w:kern w:val="0"/>
          <w:sz w:val="24"/>
          <w:szCs w:val="24"/>
          <w:lang w:eastAsia="it-IT"/>
          <w14:ligatures w14:val="none"/>
        </w:rPr>
      </w:pPr>
      <w:r w:rsidRPr="00BE0AED">
        <w:rPr>
          <w:rFonts w:ascii="Lora" w:eastAsia="Times New Roman" w:hAnsi="Lora" w:cs="Times New Roman"/>
          <w:kern w:val="0"/>
          <w:sz w:val="24"/>
          <w:szCs w:val="24"/>
          <w:lang w:eastAsia="it-IT"/>
          <w14:ligatures w14:val="none"/>
        </w:rPr>
        <w:t>Per quanto sopra, il pagamento delle tasse di cui ai punti "</w:t>
      </w:r>
      <w:r w:rsidRPr="00BE0AED">
        <w:rPr>
          <w:rFonts w:ascii="Lora" w:eastAsia="Times New Roman" w:hAnsi="Lora" w:cs="Times New Roman"/>
          <w:b/>
          <w:bCs/>
          <w:kern w:val="0"/>
          <w:sz w:val="24"/>
          <w:szCs w:val="24"/>
          <w:lang w:eastAsia="it-IT"/>
          <w14:ligatures w14:val="none"/>
        </w:rPr>
        <w:t>e</w:t>
      </w:r>
      <w:r w:rsidRPr="00BE0AED">
        <w:rPr>
          <w:rFonts w:ascii="Lora" w:eastAsia="Times New Roman" w:hAnsi="Lora" w:cs="Times New Roman"/>
          <w:kern w:val="0"/>
          <w:sz w:val="24"/>
          <w:szCs w:val="24"/>
          <w:lang w:eastAsia="it-IT"/>
          <w14:ligatures w14:val="none"/>
        </w:rPr>
        <w:t>", "</w:t>
      </w:r>
      <w:r w:rsidRPr="00BE0AED">
        <w:rPr>
          <w:rFonts w:ascii="Lora" w:eastAsia="Times New Roman" w:hAnsi="Lora" w:cs="Times New Roman"/>
          <w:b/>
          <w:bCs/>
          <w:kern w:val="0"/>
          <w:sz w:val="24"/>
          <w:szCs w:val="24"/>
          <w:lang w:eastAsia="it-IT"/>
          <w14:ligatures w14:val="none"/>
        </w:rPr>
        <w:t>f</w:t>
      </w:r>
      <w:r w:rsidRPr="00BE0AED">
        <w:rPr>
          <w:rFonts w:ascii="Lora" w:eastAsia="Times New Roman" w:hAnsi="Lora" w:cs="Times New Roman"/>
          <w:kern w:val="0"/>
          <w:sz w:val="24"/>
          <w:szCs w:val="24"/>
          <w:lang w:eastAsia="it-IT"/>
          <w14:ligatures w14:val="none"/>
        </w:rPr>
        <w:t>" e "</w:t>
      </w:r>
      <w:r w:rsidRPr="00BE0AED">
        <w:rPr>
          <w:rFonts w:ascii="Lora" w:eastAsia="Times New Roman" w:hAnsi="Lora" w:cs="Times New Roman"/>
          <w:b/>
          <w:bCs/>
          <w:kern w:val="0"/>
          <w:sz w:val="24"/>
          <w:szCs w:val="24"/>
          <w:lang w:eastAsia="it-IT"/>
          <w14:ligatures w14:val="none"/>
        </w:rPr>
        <w:t>g</w:t>
      </w:r>
      <w:r w:rsidRPr="00BE0AED">
        <w:rPr>
          <w:rFonts w:ascii="Lora" w:eastAsia="Times New Roman" w:hAnsi="Lora" w:cs="Times New Roman"/>
          <w:kern w:val="0"/>
          <w:sz w:val="24"/>
          <w:szCs w:val="24"/>
          <w:lang w:eastAsia="it-IT"/>
          <w14:ligatures w14:val="none"/>
        </w:rPr>
        <w:t>" dovrà essere effettuato </w:t>
      </w:r>
      <w:r w:rsidRPr="00BE0AED">
        <w:rPr>
          <w:rFonts w:ascii="Lora" w:eastAsia="Times New Roman" w:hAnsi="Lora" w:cs="Times New Roman"/>
          <w:b/>
          <w:bCs/>
          <w:kern w:val="0"/>
          <w:sz w:val="24"/>
          <w:szCs w:val="24"/>
          <w:lang w:eastAsia="it-IT"/>
          <w14:ligatures w14:val="none"/>
        </w:rPr>
        <w:t>ESCLUSIVAMENTE</w:t>
      </w:r>
      <w:r w:rsidRPr="00BE0AED">
        <w:rPr>
          <w:rFonts w:ascii="Lora" w:eastAsia="Times New Roman" w:hAnsi="Lora" w:cs="Times New Roman"/>
          <w:kern w:val="0"/>
          <w:sz w:val="24"/>
          <w:szCs w:val="24"/>
          <w:lang w:eastAsia="it-IT"/>
          <w14:ligatures w14:val="none"/>
        </w:rPr>
        <w:t> tramite il portale PagoPA, raggiungibile al link</w:t>
      </w:r>
    </w:p>
    <w:p w14:paraId="6E08C476" w14:textId="6BBBFFEB" w:rsidR="00BE0AED" w:rsidRPr="00BE0AED" w:rsidRDefault="00BE0AED" w:rsidP="00BE0AE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kern w:val="0"/>
          <w:sz w:val="24"/>
          <w:szCs w:val="24"/>
        </w:rPr>
      </w:pPr>
      <w:r w:rsidRPr="00BE0AED">
        <w:rPr>
          <w:rFonts w:ascii="Lora" w:eastAsia="Times New Roman" w:hAnsi="Lora" w:cs="Times New Roman"/>
          <w:kern w:val="0"/>
          <w:sz w:val="24"/>
          <w:szCs w:val="24"/>
          <w:lang w:eastAsia="it-IT"/>
          <w14:ligatures w14:val="none"/>
        </w:rPr>
        <w:t>https//</w:t>
      </w:r>
      <w:hyperlink r:id="rId4" w:tgtFrame="_blank" w:history="1">
        <w:r w:rsidRPr="00BE0AED">
          <w:rPr>
            <w:rFonts w:ascii="Lora" w:eastAsia="Times New Roman" w:hAnsi="Lora" w:cs="Times New Roman"/>
            <w:color w:val="000000"/>
            <w:kern w:val="0"/>
            <w:sz w:val="24"/>
            <w:szCs w:val="24"/>
            <w:u w:val="single"/>
            <w:lang w:eastAsia="it-IT"/>
            <w14:ligatures w14:val="none"/>
          </w:rPr>
          <w:t>pagamenti.regione.sicilia.it/site/pagamento-servizio</w:t>
        </w:r>
      </w:hyperlink>
      <w:r w:rsidRPr="00BE0AED">
        <w:rPr>
          <w:rFonts w:ascii="Lora" w:eastAsia="Times New Roman" w:hAnsi="Lora" w:cs="Times New Roman"/>
          <w:kern w:val="0"/>
          <w:sz w:val="24"/>
          <w:szCs w:val="24"/>
          <w:lang w:eastAsia="it-IT"/>
          <w14:ligatures w14:val="none"/>
        </w:rPr>
        <w:t xml:space="preserve"> secondo le modalità in esso specificate </w:t>
      </w:r>
      <w:r>
        <w:rPr>
          <w:rFonts w:ascii="TimesNewRomanPSMT" w:hAnsi="TimesNewRomanPSMT" w:cs="TimesNewRomanPSMT"/>
          <w:kern w:val="0"/>
          <w:sz w:val="24"/>
          <w:szCs w:val="24"/>
        </w:rPr>
        <w:t>(cliccare alla voce “Caccia e Pesca” 2004 - CAPITOLO 1601 – Tasse sulle concessioni regionali in materia di esercizio venatorio).</w:t>
      </w:r>
    </w:p>
    <w:p w14:paraId="6165CEB0" w14:textId="60318B2E" w:rsidR="00BE0AED" w:rsidRPr="00BE0AED" w:rsidRDefault="00BE0AED" w:rsidP="00BE0AED">
      <w:pPr>
        <w:spacing w:after="100" w:afterAutospacing="1" w:line="240" w:lineRule="auto"/>
        <w:rPr>
          <w:rFonts w:ascii="Lora" w:eastAsia="Times New Roman" w:hAnsi="Lora" w:cs="Times New Roman"/>
          <w:kern w:val="0"/>
          <w:sz w:val="24"/>
          <w:szCs w:val="24"/>
          <w:lang w:eastAsia="it-IT"/>
          <w14:ligatures w14:val="none"/>
        </w:rPr>
      </w:pPr>
      <w:r w:rsidRPr="00BE0AED">
        <w:rPr>
          <w:rFonts w:ascii="Lora" w:eastAsia="Times New Roman" w:hAnsi="Lora" w:cs="Times New Roman"/>
          <w:kern w:val="0"/>
          <w:sz w:val="24"/>
          <w:szCs w:val="24"/>
          <w:lang w:eastAsia="it-IT"/>
          <w14:ligatures w14:val="none"/>
        </w:rPr>
        <w:t>Le suddette Tasse possono essere pagate mediante unico versamento cumulativo</w:t>
      </w:r>
      <w:r w:rsidR="00C95029">
        <w:rPr>
          <w:rFonts w:ascii="Lora" w:eastAsia="Times New Roman" w:hAnsi="Lora" w:cs="Times New Roman"/>
          <w:kern w:val="0"/>
          <w:sz w:val="24"/>
          <w:szCs w:val="24"/>
          <w:lang w:eastAsia="it-IT"/>
          <w14:ligatures w14:val="none"/>
        </w:rPr>
        <w:t xml:space="preserve">, recante rispettivamente le causali: “Tassa di CC.GG. Regionale €84,00 - Tassa ammissione AA.TT.CC. €……, “Tassa Selvaggina Migratoria Ambito/i scelto/i” </w:t>
      </w:r>
      <w:proofErr w:type="gramStart"/>
      <w:r w:rsidR="00C95029">
        <w:rPr>
          <w:rFonts w:ascii="Lora" w:eastAsia="Times New Roman" w:hAnsi="Lora" w:cs="Times New Roman"/>
          <w:kern w:val="0"/>
          <w:sz w:val="24"/>
          <w:szCs w:val="24"/>
          <w:lang w:eastAsia="it-IT"/>
          <w14:ligatures w14:val="none"/>
        </w:rPr>
        <w:t>€….</w:t>
      </w:r>
      <w:proofErr w:type="gramEnd"/>
      <w:r w:rsidR="00C95029">
        <w:rPr>
          <w:rFonts w:ascii="Lora" w:eastAsia="Times New Roman" w:hAnsi="Lora" w:cs="Times New Roman"/>
          <w:kern w:val="0"/>
          <w:sz w:val="24"/>
          <w:szCs w:val="24"/>
          <w:lang w:eastAsia="it-IT"/>
          <w14:ligatures w14:val="none"/>
        </w:rPr>
        <w:t>.</w:t>
      </w:r>
    </w:p>
    <w:p w14:paraId="03F385E3" w14:textId="77777777" w:rsidR="00BE0AED" w:rsidRPr="00BE0AED" w:rsidRDefault="00BE0AED" w:rsidP="00BE0AED">
      <w:pPr>
        <w:shd w:val="clear" w:color="auto" w:fill="FFFFFF"/>
        <w:spacing w:after="120" w:line="240" w:lineRule="auto"/>
        <w:outlineLvl w:val="0"/>
        <w:rPr>
          <w:rFonts w:ascii="Titillium Web" w:eastAsia="Times New Roman" w:hAnsi="Titillium Web" w:cs="Times New Roman"/>
          <w:b/>
          <w:bCs/>
          <w:color w:val="191919"/>
          <w:spacing w:val="-18"/>
          <w:kern w:val="36"/>
          <w:sz w:val="48"/>
          <w:szCs w:val="48"/>
          <w:lang w:eastAsia="it-IT"/>
          <w14:ligatures w14:val="none"/>
        </w:rPr>
      </w:pPr>
    </w:p>
    <w:p w14:paraId="3E17AB58" w14:textId="77777777" w:rsidR="007054EB" w:rsidRDefault="007054EB"/>
    <w:sectPr w:rsidR="007054EB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itillium Web">
    <w:charset w:val="00"/>
    <w:family w:val="auto"/>
    <w:pitch w:val="variable"/>
    <w:sig w:usb0="00000007" w:usb1="00000001" w:usb2="00000000" w:usb3="00000000" w:csb0="00000093" w:csb1="00000000"/>
  </w:font>
  <w:font w:name="Lora">
    <w:charset w:val="00"/>
    <w:family w:val="auto"/>
    <w:pitch w:val="variable"/>
    <w:sig w:usb0="A00002FF" w:usb1="5000204B" w:usb2="00000000" w:usb3="00000000" w:csb0="00000097" w:csb1="00000000"/>
  </w:font>
  <w:font w:name="TimesNewRomanPSMT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E0AED"/>
    <w:rsid w:val="000C5A3C"/>
    <w:rsid w:val="00210AA0"/>
    <w:rsid w:val="002474F4"/>
    <w:rsid w:val="002B04DA"/>
    <w:rsid w:val="00313212"/>
    <w:rsid w:val="007054EB"/>
    <w:rsid w:val="007364E8"/>
    <w:rsid w:val="009860C7"/>
    <w:rsid w:val="00AD663B"/>
    <w:rsid w:val="00BA05EA"/>
    <w:rsid w:val="00BE0AED"/>
    <w:rsid w:val="00C27738"/>
    <w:rsid w:val="00C95029"/>
    <w:rsid w:val="00CB7120"/>
    <w:rsid w:val="00CC3802"/>
    <w:rsid w:val="00E4392B"/>
    <w:rsid w:val="00EA1EC9"/>
    <w:rsid w:val="00EA52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0247C2"/>
  <w15:chartTrackingRefBased/>
  <w15:docId w15:val="{877A6D3B-7BBC-4026-93DF-9BE4F9F221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BE0AE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BE0AE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BE0AED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BE0AE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BE0AED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BE0AE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BE0AE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BE0AE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BE0AE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BE0AED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BE0AE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BE0AED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BE0AED"/>
    <w:rPr>
      <w:rFonts w:eastAsiaTheme="majorEastAsia" w:cstheme="majorBidi"/>
      <w:i/>
      <w:iCs/>
      <w:color w:val="2F5496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BE0AED"/>
    <w:rPr>
      <w:rFonts w:eastAsiaTheme="majorEastAsia" w:cstheme="majorBidi"/>
      <w:color w:val="2F5496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BE0AED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BE0AED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BE0AED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BE0AED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BE0AE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BE0AE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BE0AE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BE0AE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BE0AE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BE0AED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BE0AED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BE0AED"/>
    <w:rPr>
      <w:i/>
      <w:iCs/>
      <w:color w:val="2F5496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BE0AED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BE0AED"/>
    <w:rPr>
      <w:i/>
      <w:iCs/>
      <w:color w:val="2F5496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BE0AED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06679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0730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1491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pagamenti.regione.sicilia.it/site/pagamento-servizio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267</Words>
  <Characters>1524</Characters>
  <Application>Microsoft Office Word</Application>
  <DocSecurity>0</DocSecurity>
  <Lines>12</Lines>
  <Paragraphs>3</Paragraphs>
  <ScaleCrop>false</ScaleCrop>
  <Company/>
  <LinksUpToDate>false</LinksUpToDate>
  <CharactersWithSpaces>1788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Tommaso Geraci</dc:creator>
  <cp:keywords/>
  <dc:description/>
  <cp:lastModifiedBy>Erina Prestifilippo</cp:lastModifiedBy>
  <cp:revision>2</cp:revision>
  <dcterms:created xsi:type="dcterms:W3CDTF">2026-08-17T07:43:00Z</dcterms:created>
  <dcterms:modified xsi:type="dcterms:W3CDTF">2026-08-17T07:43:00Z</dcterms:modified>
</cp:coreProperties>
</file>